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6)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 — design baseline</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 (design baseline)</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Part II asks a question most architecture papers never reach: what happens when the machine’s pulses are treated as what they are — quantum fields? Quantizing the Part-I cell shows a logic pulse is a mesoscopic object: one plasmon is a 0.16% density swing, the cell’s linear range ends near 38 plasmons referred to the launch/drive plane (22–51 across the CW and pulse observables), and the full logic rail holds only about 3,800 — a figure anchored at neither plane. Quantum noise is therefore a design input, not a footnote. Two results follow.</w:t>
      </w:r>
      <w:r>
        <w:rPr>
          <w:b/>
          <w:i w:val="0"/>
        </w:rPr>
      </w:r>
      <w:r>
        <w:rPr>
          <w:b w:val="0"/>
          <w:i w:val="0"/>
        </w:rPr>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reaches ~5 × 10⁻⁷ at room temperature at one-sixteenth throughput in the published bookkeeping — an ideal per-slot sampler, not a physical accumulator: no realizable topology reproduces that column, and the charge-memory reading of it has been withdrawn.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(https://github.com/ryoji-info/FableComputer/blob/main/papers/Fable-Computer-Part-I.pdf for Part I v6.0, https://github.com/ryoji-info/FableComputer/blob/main/papers/Fable-Computer-Part-II.pdf for Part II v2.0),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public analyses (posted roughly daily, as computing resources allow)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(v6.0): https://github.com/ryoji-info/FableComputer/blob/main/papers/Fable-Computer-Part-I.pdf  ·  Part II (v2.0): https://github.com/ryoji-info/FableComputer/blob/main/papers/Fable-Computer-Part-II.pdf</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v1.6).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Part II v1.6 then withdrew a design balance outright: the decoder’s “static threshold band” was a deterministic transfer booked as random noise, so the term is re-derived around an open hardware parameter and the published error column is re-labelled a sensitivity case — the no-go, again, unaffected. Sources: notes/ and REPLICATIONS.md in the repository.</w:t>
      </w:r>
    </w:p>
    <w:p>
      <w:r>
        <w:t>Document revision note (rev. 4, July 2026). Corrected against the community record through 26 July, per notes/2026-07-26-record-audit-ten-findings.md (promoted 3-of-3). Three claims in rev. 3 were retired by the record and are corrected above. (i) The 0.25 THz symbol rate and the 2.5 × 10¹¹ additions/s throughput are the design baseline only: with per-slot flushing required against cavity ring-down, fan-out-2 logic does not close at a 4-ps slot at any de-Q rate, and the defensible in-model operating point for F = 2 logic is ≈0.1 THz (notes/2026-07-23-reset-switch-adjudication.md). (ii) The 38-plasmon knee is a launch/drive-plane quantity, band 22–51; the ≈3,800-plasmon rail is anchored at neither plane (notes/2026-07-17-what-the-38-quanta-knee-denominates-after-the-july-plane-aud.md). (iii) The 16-slot averaging column is ideal-per-slot-sampler bookkeeping rather than an achieved result — no physical accumulator reproduces it, and the charge-memory reading was withdrawn by Part II v1.7 (notes/2026-07-16-no-physical-avg16-accumulator.md). Version references now read Part I v5.6 and Part II v1.7, the manuscripts shipped in papers/; corrections the deposited PDFs do not yet carry are listed in papers/ERRATA.md. The rev. 3 note above is left as written.</w:t>
      </w:r>
    </w:p>
    <w:p>
      <w:r>
        <w:t>Document revision note (rev. 5, July 2026). Version references updated to the v6.0 / v2.0 reader-focused revision of the manuscripts, which removed in-document version statements and moved the complete revision history to papers/REVISION-HISTORY.md. The rev. 3 and rev. 4 notes above are left as written.</w:t>
      </w:r>
    </w:p>
    <w:p>
      <w:r>
        <w:t>Document revision note (rev. 6, July 2026). Agent Lab cadence corrected above: nothing is scheduled; runs start by hand, roughly daily as resources allow.</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