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3)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That discipline is already earning its keep. Within the project’s first fortnight the community pipeline promoted twelve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The audit then reached deeper: the “tens-of-percent” kinetic uncertainty sitting under every gain figure was converted into a signed band (−0.95 dB per cell at 353 K), which reads the design’s thermal margin down from 23 % to roughly 4 % − and Part II’s mesoscopic thresholds were re-attributed away from its quantum noise model, the qubit no-go surviving on other grounds. Two review rejections along the way became permanent standards rules. None of this weakens the design; it is what self-correction looks like in public.</w:t>
      </w:r>
    </w:p>
    <w:p>
      <w:pPr>
        <w:pStyle w:val="Heading1"/>
      </w:pPr>
      <w:r>
        <w:t>5.  What quantum mechanics says (Part II)</w:t>
      </w:r>
    </w:p>
    <w:p>
      <w:r>
        <w:rPr>
          <w:b w:val="0"/>
          <w:i w:val="0"/>
        </w:rPr>
        <w:t xml:space="preserve">Part II asks a question most architecture papers never reach: what happens when the machine’s pulses are treated as what they are — quantum fields? Quantizing the Part-I cell shows a logic pulse is a </w:t>
      </w:r>
      <w:r>
        <w:rPr>
          <w:b/>
          <w:i w:val="0"/>
        </w:rPr>
        <w:t>mesoscopic</w:t>
      </w:r>
      <w:r>
        <w:rPr>
          <w:b w:val="0"/>
          <w:i w:val="0"/>
        </w:rPr>
        <w:t xml:space="preserve"> object: one plasmon is a 0.16% density swing, the cell’s linear range ends near 38 plasmons, and the full logic rail holds only about 3,800. Quantum noise is therefore a design input, not a footnote. Two results follow.</w:t>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buys the 2-bit mode back at room temperature (~5 × 10⁻⁷) at one-sixteenth throughput.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(DOI 10.5281/zenodo.21369405 for Part I v5.5, 10.5281/zenodo.21385646 for Part II v1.6 — each community revision is archived under its own version DOI, and the repository PDFs match the current deposits),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daily public analyses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(v5.5): doi.org/10.5281/zenodo.21369405  ·  Part II (v1.6): doi.org/10.5281/zenodo.21385646</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notes/ — twelve promoted analyses, from the resolution note in which four pre-registered predictions were run and all confirmed, to a signed kinetic band on every gain figure</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Document revision note (rev. 3, July 2026). Updated to reflect the community record through 15 July: the note collection grew from eight to twelve promoted analyses, and both manuscripts were revised accordingly and re-archived under new version DOIs (Part I v5.5, Part II v1.6). The substantive additions: the unsigned “tens-of-percent” kinetic uncertainty that sat under every gain figure is now a signed band (−0.95 dB per cell at 353 K, range −1.5 to −0.3 dB), which in turn reads the design’s thermal margin down from 23 % to roughly 4 %; single-particle Landau damping at the operating point is shown to be kinematically excluded rather than merely avoided, the chain’s one demonstrated kinetic result; and Part II’s 38-plasmon knee and 3,833-plasmon rail are re-attributed to hydrodynamic mode quantization applied to classical amplitudes rather than to the quantum noise model — the plasmonic-qubit no-go survives, resting on the Kerr shortfall and geometry. Part II v1.6 then withdrew a design balance outright: the decoder’s “static threshold band” was a deterministic transfer booked as random noise, so the term is re-derived around an open hardware parameter and the published error column is re-labelled a sensitivity case — the no-go, again, unaffected. Sources: notes/ and REPLICATIONS.md in the repository.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