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B1F3F" w14:textId="6C2D83EB" w:rsidR="00AA53BB" w:rsidRPr="00AA53BB" w:rsidRDefault="00AA53BB" w:rsidP="00AA53BB">
      <w:pPr>
        <w:spacing w:line="240" w:lineRule="auto"/>
        <w:rPr>
          <w:rFonts w:ascii="Times New Roman" w:eastAsia="Times New Roman" w:hAnsi="Times New Roman" w:cs="Times New Roman"/>
          <w:sz w:val="24"/>
          <w:szCs w:val="24"/>
          <w:lang w:val="en-US"/>
        </w:rPr>
      </w:pPr>
      <w:r>
        <w:rPr>
          <w:rFonts w:ascii="Palatino Linotype" w:eastAsia="Times New Roman" w:hAnsi="Palatino Linotype" w:cs="Times New Roman"/>
          <w:b/>
          <w:bCs/>
          <w:color w:val="000000"/>
          <w:sz w:val="24"/>
          <w:szCs w:val="24"/>
          <w:lang w:val="en-US"/>
        </w:rPr>
        <w:t xml:space="preserve">Assessing </w:t>
      </w:r>
      <w:r w:rsidR="00B97422">
        <w:rPr>
          <w:rFonts w:ascii="Palatino Linotype" w:eastAsia="Times New Roman" w:hAnsi="Palatino Linotype" w:cs="Times New Roman"/>
          <w:b/>
          <w:bCs/>
          <w:color w:val="000000"/>
          <w:sz w:val="24"/>
          <w:szCs w:val="24"/>
          <w:lang w:val="en-US"/>
        </w:rPr>
        <w:t xml:space="preserve">the </w:t>
      </w:r>
      <w:r w:rsidR="00F2341C">
        <w:rPr>
          <w:rFonts w:ascii="Palatino Linotype" w:eastAsia="Times New Roman" w:hAnsi="Palatino Linotype" w:cs="Times New Roman"/>
          <w:b/>
          <w:bCs/>
          <w:color w:val="000000"/>
          <w:sz w:val="24"/>
          <w:szCs w:val="24"/>
          <w:lang w:val="en-US"/>
        </w:rPr>
        <w:t xml:space="preserve">overall, </w:t>
      </w:r>
      <w:r w:rsidR="00C727FC">
        <w:rPr>
          <w:rFonts w:ascii="Palatino Linotype" w:eastAsia="Times New Roman" w:hAnsi="Palatino Linotype" w:cs="Times New Roman"/>
          <w:b/>
          <w:bCs/>
          <w:color w:val="000000"/>
          <w:sz w:val="24"/>
          <w:szCs w:val="24"/>
          <w:lang w:val="en-US"/>
        </w:rPr>
        <w:t>spatial</w:t>
      </w:r>
      <w:r w:rsidR="00F2341C">
        <w:rPr>
          <w:rFonts w:ascii="Palatino Linotype" w:eastAsia="Times New Roman" w:hAnsi="Palatino Linotype" w:cs="Times New Roman"/>
          <w:b/>
          <w:bCs/>
          <w:color w:val="000000"/>
          <w:sz w:val="24"/>
          <w:szCs w:val="24"/>
          <w:lang w:val="en-US"/>
        </w:rPr>
        <w:t>,</w:t>
      </w:r>
      <w:r w:rsidR="00C727FC">
        <w:rPr>
          <w:rFonts w:ascii="Palatino Linotype" w:eastAsia="Times New Roman" w:hAnsi="Palatino Linotype" w:cs="Times New Roman"/>
          <w:b/>
          <w:bCs/>
          <w:color w:val="000000"/>
          <w:sz w:val="24"/>
          <w:szCs w:val="24"/>
          <w:lang w:val="en-US"/>
        </w:rPr>
        <w:t xml:space="preserve"> and temporal human </w:t>
      </w:r>
      <w:r w:rsidR="00B97422">
        <w:rPr>
          <w:rFonts w:ascii="Palatino Linotype" w:eastAsia="Times New Roman" w:hAnsi="Palatino Linotype" w:cs="Times New Roman"/>
          <w:b/>
          <w:bCs/>
          <w:color w:val="000000"/>
          <w:sz w:val="24"/>
          <w:szCs w:val="24"/>
          <w:lang w:val="en-US"/>
        </w:rPr>
        <w:t xml:space="preserve">use of </w:t>
      </w:r>
      <w:r>
        <w:rPr>
          <w:rFonts w:ascii="Palatino Linotype" w:eastAsia="Times New Roman" w:hAnsi="Palatino Linotype" w:cs="Times New Roman"/>
          <w:b/>
          <w:bCs/>
          <w:color w:val="000000"/>
          <w:sz w:val="24"/>
          <w:szCs w:val="24"/>
          <w:lang w:val="en-US"/>
        </w:rPr>
        <w:t>California’s protected area network</w:t>
      </w:r>
      <w:r w:rsidR="00B97422">
        <w:rPr>
          <w:rFonts w:ascii="Palatino Linotype" w:eastAsia="Times New Roman" w:hAnsi="Palatino Linotype" w:cs="Times New Roman"/>
          <w:b/>
          <w:bCs/>
          <w:color w:val="000000"/>
          <w:sz w:val="24"/>
          <w:szCs w:val="24"/>
          <w:lang w:val="en-US"/>
        </w:rPr>
        <w:t xml:space="preserve"> </w:t>
      </w:r>
    </w:p>
    <w:p w14:paraId="754A93DE" w14:textId="77777777" w:rsidR="00AA53BB" w:rsidRPr="00AA53BB" w:rsidRDefault="00AA53BB" w:rsidP="00AA53BB">
      <w:pPr>
        <w:spacing w:line="240" w:lineRule="auto"/>
        <w:rPr>
          <w:rFonts w:ascii="Times New Roman" w:eastAsia="Times New Roman" w:hAnsi="Times New Roman" w:cs="Times New Roman"/>
          <w:sz w:val="24"/>
          <w:szCs w:val="24"/>
          <w:lang w:val="en-US"/>
        </w:rPr>
      </w:pPr>
    </w:p>
    <w:p w14:paraId="49179FA3" w14:textId="79DEAB09" w:rsidR="00AA53BB" w:rsidRPr="00AA53BB" w:rsidRDefault="00AA53BB" w:rsidP="00AA53BB">
      <w:pPr>
        <w:spacing w:line="240" w:lineRule="auto"/>
        <w:rPr>
          <w:rFonts w:ascii="Times New Roman" w:eastAsia="Times New Roman" w:hAnsi="Times New Roman" w:cs="Times New Roman"/>
          <w:sz w:val="24"/>
          <w:szCs w:val="24"/>
          <w:lang w:val="en-US"/>
        </w:rPr>
      </w:pPr>
      <w:r w:rsidRPr="00AA53BB">
        <w:rPr>
          <w:rFonts w:ascii="Palatino Linotype" w:eastAsia="Times New Roman" w:hAnsi="Palatino Linotype" w:cs="Times New Roman"/>
          <w:color w:val="000000"/>
          <w:sz w:val="20"/>
          <w:szCs w:val="20"/>
          <w:lang w:val="en-US"/>
        </w:rPr>
        <w:t>Alicia Caughman</w:t>
      </w:r>
      <w:r w:rsidRPr="00AA53BB">
        <w:rPr>
          <w:rFonts w:ascii="Palatino Linotype" w:eastAsia="Times New Roman" w:hAnsi="Palatino Linotype" w:cs="Times New Roman"/>
          <w:color w:val="000000"/>
          <w:sz w:val="12"/>
          <w:szCs w:val="12"/>
          <w:vertAlign w:val="superscript"/>
          <w:lang w:val="en-US"/>
        </w:rPr>
        <w:t>1</w:t>
      </w:r>
      <w:r w:rsidRPr="00AA53BB">
        <w:rPr>
          <w:rFonts w:ascii="Palatino Linotype" w:eastAsia="Times New Roman" w:hAnsi="Palatino Linotype" w:cs="Times New Roman"/>
          <w:color w:val="000000"/>
          <w:sz w:val="20"/>
          <w:szCs w:val="20"/>
          <w:lang w:val="en-US"/>
        </w:rPr>
        <w:t>, Ruth Oliver</w:t>
      </w:r>
      <w:r w:rsidRPr="00AA53BB">
        <w:rPr>
          <w:rFonts w:ascii="Palatino Linotype" w:eastAsia="Times New Roman" w:hAnsi="Palatino Linotype" w:cs="Times New Roman"/>
          <w:color w:val="000000"/>
          <w:sz w:val="12"/>
          <w:szCs w:val="12"/>
          <w:vertAlign w:val="superscript"/>
          <w:lang w:val="en-US"/>
        </w:rPr>
        <w:t>1</w:t>
      </w:r>
    </w:p>
    <w:p w14:paraId="2A5410F3" w14:textId="77777777" w:rsidR="00AA53BB" w:rsidRPr="00AA53BB" w:rsidRDefault="00AA53BB" w:rsidP="00AA53BB">
      <w:pPr>
        <w:spacing w:line="240" w:lineRule="auto"/>
        <w:rPr>
          <w:rFonts w:ascii="Times New Roman" w:eastAsia="Times New Roman" w:hAnsi="Times New Roman" w:cs="Times New Roman"/>
          <w:sz w:val="24"/>
          <w:szCs w:val="24"/>
          <w:lang w:val="en-US"/>
        </w:rPr>
      </w:pPr>
      <w:r w:rsidRPr="00AA53BB">
        <w:rPr>
          <w:rFonts w:ascii="Palatino Linotype" w:eastAsia="Times New Roman" w:hAnsi="Palatino Linotype" w:cs="Times New Roman"/>
          <w:color w:val="000000"/>
          <w:sz w:val="16"/>
          <w:szCs w:val="16"/>
          <w:lang w:val="en-US"/>
        </w:rPr>
        <w:t>1 University of California Santa Barbara</w:t>
      </w:r>
    </w:p>
    <w:p w14:paraId="1FAA8073" w14:textId="77777777" w:rsidR="001A2B4C" w:rsidRPr="001A2B4C" w:rsidRDefault="001A2B4C" w:rsidP="00653C68">
      <w:pPr>
        <w:rPr>
          <w:rFonts w:ascii="Palatino Linotype" w:eastAsia="Palatino Linotype" w:hAnsi="Palatino Linotype" w:cs="Palatino Linotype"/>
          <w:sz w:val="16"/>
          <w:szCs w:val="16"/>
        </w:rPr>
      </w:pPr>
    </w:p>
    <w:p w14:paraId="1BFAB466" w14:textId="333164F6" w:rsidR="00983593" w:rsidRPr="009371E1" w:rsidRDefault="008345F7" w:rsidP="00FD5D62">
      <w:pPr>
        <w:rPr>
          <w:rFonts w:ascii="Palatino Linotype" w:eastAsia="Palatino Linotype" w:hAnsi="Palatino Linotype" w:cs="Palatino Linotype"/>
          <w:b/>
        </w:rPr>
      </w:pPr>
      <w:r>
        <w:rPr>
          <w:rFonts w:ascii="Palatino Linotype" w:eastAsia="Palatino Linotype" w:hAnsi="Palatino Linotype" w:cs="Palatino Linotype"/>
          <w:b/>
        </w:rPr>
        <w:t>Background:</w:t>
      </w:r>
    </w:p>
    <w:p w14:paraId="4801CCD8" w14:textId="2F4EA20C" w:rsidR="008F0C23" w:rsidRDefault="00D07FEF" w:rsidP="00FD5D62">
      <w:pPr>
        <w:rPr>
          <w:rFonts w:ascii="Palatino Linotype" w:eastAsia="Palatino Linotype" w:hAnsi="Palatino Linotype" w:cs="Palatino Linotype"/>
        </w:rPr>
      </w:pPr>
      <w:r>
        <w:rPr>
          <w:rFonts w:ascii="Palatino Linotype" w:eastAsia="Palatino Linotype" w:hAnsi="Palatino Linotype" w:cs="Palatino Linotype"/>
        </w:rPr>
        <w:t xml:space="preserve">Protected areas provide key </w:t>
      </w:r>
      <w:r w:rsidR="00C40397">
        <w:rPr>
          <w:rFonts w:ascii="Palatino Linotype" w:eastAsia="Palatino Linotype" w:hAnsi="Palatino Linotype" w:cs="Palatino Linotype"/>
        </w:rPr>
        <w:t>protection</w:t>
      </w:r>
      <w:r>
        <w:rPr>
          <w:rFonts w:ascii="Palatino Linotype" w:eastAsia="Palatino Linotype" w:hAnsi="Palatino Linotype" w:cs="Palatino Linotype"/>
        </w:rPr>
        <w:t xml:space="preserve"> for species by reducing pressure from humans through the prohibition of certain extractive activities (CITE). Human activity, however, is not excluded completely from these areas. Human pressure within protected areas has </w:t>
      </w:r>
      <w:r>
        <w:rPr>
          <w:rFonts w:ascii="Palatino Linotype" w:eastAsia="Palatino Linotype" w:hAnsi="Palatino Linotype" w:cs="Palatino Linotype"/>
        </w:rPr>
        <w:t xml:space="preserve">largely been measured through development and/or measures of population </w:t>
      </w:r>
      <w:r>
        <w:rPr>
          <w:rFonts w:ascii="Palatino Linotype" w:eastAsia="Palatino Linotype" w:hAnsi="Palatino Linotype" w:cs="Palatino Linotype"/>
        </w:rPr>
        <w:fldChar w:fldCharType="begin"/>
      </w:r>
      <w:r>
        <w:rPr>
          <w:rFonts w:ascii="Palatino Linotype" w:eastAsia="Palatino Linotype" w:hAnsi="Palatino Linotype" w:cs="Palatino Linotype"/>
        </w:rPr>
        <w:instrText xml:space="preserve"> ADDIN ZOTERO_ITEM CSL_CITATION {"citationID":"BoOBwIWd","properties":{"formattedCitation":"(1)","plainCitation":"(1)","noteIndex":0},"citationItems":[{"id":16576,"uris":["http://zotero.org/users/7833312/items/TYT79WMN"],"itemData":{"id":16576,"type":"article-journal","abstract":"It is widely accepted that the main driver of the observed decline in biological diversity is increasing human pressure on Earth's ecosystems. However, the spatial patterns of change in human pressure and their relation to conservation efforts are less well known. We developed a spatially and temporally explicit map of global change in human pressure over 2 decades between 1990 and 2010 at a resolution of 10 km2. We evaluated 22 spatial data sets representing different components of human pressure and used them to compile a temporal human pressure index (THPI) based on 3 data sets: human population density, land transformation, and electrical power infrastructure. We investigated how the THPI within protected areas was correlated to International Union for Conservation of Nature (IUCN) management categories and the human development index (HDI) and how the THPI was correlated to cumulative pressure on the basis of the original human footprint index. Since the early 1990s, human pressure increased 64% of the terrestrial areas; the largest increases were in Southeast Asia. Protected areas also exhibited overall increases in human pressure, the degree of which varied with location and IUCN management category. Only wilderness areas and natural monuments (management categories Ib and III) exhibited decreases in pressure. Protected areas not assigned any category exhibited the greatest increases. High HDI values correlated with greater reductions in pressure across protected areas, while increasing age of the protected area correlated with increases in pressure. Our analysis is an initial step toward mapping changes in human pressure on the natural world over time. That only 3 data sets could be included in our spatio-temporal global pressure map highlights the challenge to measuring pressure changes over time. Mapeo del Cambio en la Presión Humana Global en Tierra y Dentro de Áreas Protegidas","container-title":"Conservation Biology","DOI":"10.1111/cobi.12332","ISSN":"1523-1739","issue":"6","language":"es","note":"_eprint: https://onlinelibrary.wiley.com/doi/pdf/10.1111/cobi.12332","page":"1604-1616","source":"Wiley Online Library","title":"Mapping Change in Human Pressure Globally on Land and within Protected Areas","volume":"28","author":[{"family":"Geldmann","given":"Jonas"},{"family":"Joppa","given":"Lucas N."},{"family":"Burgess","given":"Neil D."}],"issued":{"date-parts":[["2014"]]}}}],"schema":"https://github.com/citation-style-language/schema/raw/master/csl-citation.json"} </w:instrText>
      </w:r>
      <w:r>
        <w:rPr>
          <w:rFonts w:ascii="Palatino Linotype" w:eastAsia="Palatino Linotype" w:hAnsi="Palatino Linotype" w:cs="Palatino Linotype"/>
        </w:rPr>
        <w:fldChar w:fldCharType="separate"/>
      </w:r>
      <w:r w:rsidRPr="00C961C7">
        <w:rPr>
          <w:rFonts w:ascii="Palatino Linotype" w:hAnsi="Palatino Linotype"/>
        </w:rPr>
        <w:t>(1)</w:t>
      </w:r>
      <w:r>
        <w:rPr>
          <w:rFonts w:ascii="Palatino Linotype" w:eastAsia="Palatino Linotype" w:hAnsi="Palatino Linotype" w:cs="Palatino Linotype"/>
        </w:rPr>
        <w:fldChar w:fldCharType="end"/>
      </w:r>
      <w:r>
        <w:rPr>
          <w:rFonts w:ascii="Palatino Linotype" w:eastAsia="Palatino Linotype" w:hAnsi="Palatino Linotype" w:cs="Palatino Linotype"/>
        </w:rPr>
        <w:t>, however, another dimension of human pressure is human mobility itself.</w:t>
      </w:r>
      <w:r w:rsidRPr="00D07FEF">
        <w:rPr>
          <w:rFonts w:ascii="Palatino Linotype" w:eastAsia="Palatino Linotype" w:hAnsi="Palatino Linotype" w:cs="Palatino Linotype"/>
        </w:rPr>
        <w:t xml:space="preserve"> </w:t>
      </w:r>
      <w:r>
        <w:rPr>
          <w:rFonts w:ascii="Palatino Linotype" w:eastAsia="Palatino Linotype" w:hAnsi="Palatino Linotype" w:cs="Palatino Linotype"/>
        </w:rPr>
        <w:t xml:space="preserve">Protected areas within United States </w:t>
      </w:r>
      <w:r>
        <w:rPr>
          <w:rFonts w:ascii="Palatino Linotype" w:eastAsia="Palatino Linotype" w:hAnsi="Palatino Linotype" w:cs="Palatino Linotype"/>
        </w:rPr>
        <w:fldChar w:fldCharType="begin"/>
      </w:r>
      <w:r>
        <w:rPr>
          <w:rFonts w:ascii="Palatino Linotype" w:eastAsia="Palatino Linotype" w:hAnsi="Palatino Linotype" w:cs="Palatino Linotype"/>
        </w:rPr>
        <w:instrText xml:space="preserve"> ADDIN ZOTERO_ITEM CSL_CITATION {"citationID":"x2cDTjJj","properties":{"formattedCitation":"(2)","plainCitation":"(2)","noteIndex":0},"citationItems":[{"id":16731,"uris":["http://zotero.org/users/7833312/items/FY5XV5W7"],"itemData":{"id":16731,"type":"dataset","abstract":"The USGS Protected Areas Database of the United States (PAD-US) is the nation's inventory of protected areas, including public land and voluntarily provided private protected areas, identified as an A-16 National Geospatial Data Asset in the Cadastre Theme ( https://communities.geoplatform.gov/ngda-cadastre/ ). The PAD-US is an ongoing project with several published versions of a spatial database including areas dedicated to the preservation of biological diversity, and other natural (including extraction), recreational, or cultural uses, managed for these purposes through legal or other effective means. The database was originally designed to support biodiversity assessments; however, its scope expanded in recent years to include all open space public and nonprofit lands and waters. Most are public lands owned in fee (the owner of the property has full and irrevocable ownership of the land); however, permanent and long-term easements, leases, agreements, Congressional (e.g. 'Wilderness Area'), Executive (e.g. 'National Monument'), and administrative designations (e.g. 'Area of Critical Environmental Concern') documented in agency management plans are also included. The PAD-US strives to be a complete inventory of U.S. public land and other protected areas, compiling &amp;amp;ldquo;best available&amp;amp;rdquo; data provided by managing agencies and organizations. The PAD-US geodatabase maps and describes areas using thirty-six attributes and five separate feature classes representing the U.S. protected areas network: Fee (ownership parcels), Designation, Easement, Marine, Proclamation and Other Planning Boundaries. An additional Combined feature class includes the full PAD-US inventory to support data management, queries, web mapping services, and analyses. The Feature Class (FeatClass) field in the Combined layer allows users to extract data types as needed. A Federal Data Reference file geodatabase lookup table (PADUS3_0Combined_Federal_Data_References) facilitates the extraction of authoritative federal data provided or recommended by managing agencies from the Combined PAD-US inventory.\n\nThis PAD-US Version 3.0 dataset includes a variety of updates from the previous Version 2.1 dataset (USGS, 2020, https://doi.org/10.5066/P92QM3NT ), achieving goals to: 1) Annually update and improve spatial data representing the federal estate for PAD-US applications; 2) Update state and local lands data as state data-steward and PAD-US Team resources allow; and 3) Automate data translation efforts to increase PAD-US update efficiency. The following list summarizes the integration of &amp;amp;quot;best available&amp;amp;quot; spatial data to ensure public lands and other protected areas from all jurisdictions are represented in the PAD-US (other data were transferred from PAD-US 2.1).\n\nFederal updates - The USGS remains committed to updating federal fee owned lands data and major designation changes in annual PAD-US updates, where authoritative data provided directly by managing agencies are available or alternative data sources are recommended. The following is a list of updates or revisions associated with the federal estate:\n\n1) Major update of the Federal estate (fee ownership parcels, easement interest, and management designations where available), including authoritative data from 8 agencies: Bureau of Land Management (BLM), U.S. Census Bureau (Census Bureau), Department of Defense (DOD), U.S. Fish and Wildlife Service (FWS), National Park Service (NPS), Natural Resources Conservation Service (NRCS), U.S. Forest Service (USFS), and National Oceanic and Atmospheric Administration (NOAA). The federal theme in PAD-US is developed in close collaboration with the Federal Geographic Data Committee (FGDC) Federal Lands Working Group (FLWG, https://communities.geoplatform.gov/ngda-govunits/federal-lands-workgroup/ ).\n\n2) Improved the representation (boundaries and attributes) of the National Park Service, U.S. Forest Service, Bureau of Land Management, and U.S. Fish and Wildlife Service lands, in collaboration with agency data-stewards, in response to feedback from the PAD-US Team and stakeholders.\n\n3) Added a Federal Data Reference file geodatabase lookup table (PADUS3_0Combined_Federal_Data_References) to the PAD-US 3.0 geodatabase to facilitate the extraction (by Data Provider, Dataset Name, and/or Aggregator Source) of authoritative data provided directly (or recommended) by federal managing agencies from the full PAD-US inventory. A summary of the number of records (Frequency) and calculated GIS Acres (vs Documented Acres) associated with features provided by each Aggregator Source is included; however, the number of records may vary from source data as the &amp;amp;quot;State Name&amp;amp;quot; standard is applied to national files. The Feature Class (FeatClass) field in the table and geodatabase describe the data type to highlight overlapping features in the full inventory (e.g. Designation features often overlap Fee features) and to assist users in building queries for applications as needed.\n\n4) Scripted the translation of the Department of Defense, Census Bureau, and Natural Resource Conservation Service source data into the PAD-US format to increase update efficiency.\n\n5) Revised conservation measures (GAP Status Code, IUCN Category) to more accurately represent protected and conserved areas. For example, Fish and Wildlife Service (FWS) Waterfowl Production Area Wetland Easements changed from GAP Status Code 2 to 4 as spatial data currently represents the complete parcel (about 10.54 million acres primarily in North Dakota and South Dakota). Only aliquot parts of these parcels are documented under wetland easement (1.64 million acres). These acreages are provided by the U.S. Fish and Wildlife Service and are referenced in the PAD-US geodatabase Easement feature class 'Comments' field.\n\nState updates - The USGS is committed to building capacity in the state data-steward network and the PAD-US Team to increase the frequency of state land updates, as resources allow. The USGS supported efforts to significantly increase state inventory completeness with the integration of local parks data in the PAD-US 2.1, and developed a state-to-PAD-US data translation script during PAD-US 3.0 development to pilot in future updates. Additional efforts are in progress to support the technical and organizational strategies needed to increase the frequency of state updates. The PAD-US 3.0 included major updates to the following three states:\n\n1) California - added or updated state, regional, local, and nonprofit lands data from the California Protected Areas Database (CPAD), managed by GreenInfo Network, and integrated conservation and recreation measure changes following review coordinated by the data-steward with state managing agencies. Developed a data translation Python script (see Process Step 2 Source Data Documentation) in collaboration with the data-steward to increase the accuracy and efficiency of future PAD-US updates from CPAD.\n\n2) Virginia - added or updated state, local, and nonprofit protected areas data (and removed legacy data) from the Virginia Conservation Lands Database, provided by the Virginia Department of Conservation and Recreation's Natural Heritage Program, and integrated conservation and recreation measure changes following review by the data-steward.\n\n3) West Virginia - added or updated state, local, and nonprofit protected areas data provided by the West Virginia University, GIS Technical Center.\n\nFor more information regarding the PAD-US dataset please visit, https://www.usgs.gov/gapanalysis/PAD-US/.  For more information about data aggregation please review the PAD-US Data Manual available at https://www.usgs.gov/core-science-systems/science-analytics-and-synthesis/gap/pad-us-data-manual .\n\nA version history of PAD-US updates is summarized below (See https://www.usgs.gov/core-science-systems/science-analytics-and-synthesis/gap/pad-us-data-history for more information):\n1) First posted - April 2009 (Version 1.0 - available from the PAD-US: Team pad-us@usgs.gov).\n2) Revised - May 2010 (Version 1.1 - available from the PAD-US: Team pad-us@usgs.gov).\n3) Revised - April 2011 (Version 1.2 - available from the PAD-US: Team pad-us@usgs.gov).\n4) Revised - November 2012 (Version 1.3) https://doi.org/10.5066/F79Z92XD\n5) Revised - May 2016 (Version 1.4) https://doi.org/10.5066/F7G73BSZ\n6) Revised - September 2018 (Version 2.0) https://doi.org/10.5066/P955KPLE\n7) Revised - September 2020 (Version 2.1) https://doi.org/10.5066/P92QM3NT\n8) Revised - January 2022 (Version 3.0) https://doi.org/10.5066/P9Q9LQ4B  \nComparing protected area trends between PAD-US versions is not recommended without consultation with USGS as many changes reflect improvements to agency and organization GIS systems, or conservation and recreation measure classification, rather than actual changes in protected area acquisition on the ground.","DOI":"10.5066/P9Q9LQ4B","source":"DOI.org (Datacite)","title":"Protected Areas Database of the United States (PAD-US) 3.0 (ver. 2.0, March 2023)","URL":"https://www.sciencebase.gov/catalog/item/61794fc2d34ea58c3c6f9f69","author":[{"literal":"U.S. Geological Survey (USGS) Gap Analysis Project (GAP)"}],"accessed":{"date-parts":[["2024",4,19]]},"issued":{"date-parts":[["2023",3,20]]}}}],"schema":"https://github.com/citation-style-language/schema/raw/master/csl-citation.json"} </w:instrText>
      </w:r>
      <w:r>
        <w:rPr>
          <w:rFonts w:ascii="Palatino Linotype" w:eastAsia="Palatino Linotype" w:hAnsi="Palatino Linotype" w:cs="Palatino Linotype"/>
        </w:rPr>
        <w:fldChar w:fldCharType="separate"/>
      </w:r>
      <w:r w:rsidRPr="00C961C7">
        <w:rPr>
          <w:rFonts w:ascii="Palatino Linotype" w:hAnsi="Palatino Linotype"/>
        </w:rPr>
        <w:t>(2)</w:t>
      </w:r>
      <w:r>
        <w:rPr>
          <w:rFonts w:ascii="Palatino Linotype" w:eastAsia="Palatino Linotype" w:hAnsi="Palatino Linotype" w:cs="Palatino Linotype"/>
        </w:rPr>
        <w:fldChar w:fldCharType="end"/>
      </w:r>
      <w:r>
        <w:rPr>
          <w:rFonts w:ascii="Palatino Linotype" w:eastAsia="Palatino Linotype" w:hAnsi="Palatino Linotype" w:cs="Palatino Linotype"/>
        </w:rPr>
        <w:t xml:space="preserve">, such as the national parks, are often visited by millions of visitors a year </w:t>
      </w:r>
      <w:r>
        <w:rPr>
          <w:rFonts w:ascii="Palatino Linotype" w:eastAsia="Palatino Linotype" w:hAnsi="Palatino Linotype" w:cs="Palatino Linotype"/>
        </w:rPr>
        <w:fldChar w:fldCharType="begin"/>
      </w:r>
      <w:r>
        <w:rPr>
          <w:rFonts w:ascii="Palatino Linotype" w:eastAsia="Palatino Linotype" w:hAnsi="Palatino Linotype" w:cs="Palatino Linotype"/>
        </w:rPr>
        <w:instrText xml:space="preserve"> ADDIN ZOTERO_ITEM CSL_CITATION {"citationID":"TNHmLXDZ","properties":{"formattedCitation":"(3)","plainCitation":"(3)","noteIndex":0},"citationItems":[{"id":16732,"uris":["http://zotero.org/users/7833312/items/IM6IBZMR"],"itemData":{"id":16732,"type":"webpage","language":"en","title":"Visitation Numbers (U.S. National Park Service)","URL":"https://www.nps.gov/aboutus/visitation-numbers.htm","author":[{"family":"NPS","given":""}],"accessed":{"date-parts":[["2024",4,19]]},"issued":{"date-parts":[["2023"]]}}}],"schema":"https://github.com/citation-style-language/schema/raw/master/csl-citation.json"} </w:instrText>
      </w:r>
      <w:r>
        <w:rPr>
          <w:rFonts w:ascii="Palatino Linotype" w:eastAsia="Palatino Linotype" w:hAnsi="Palatino Linotype" w:cs="Palatino Linotype"/>
        </w:rPr>
        <w:fldChar w:fldCharType="separate"/>
      </w:r>
      <w:r w:rsidRPr="00890272">
        <w:rPr>
          <w:rFonts w:ascii="Palatino Linotype" w:hAnsi="Palatino Linotype"/>
        </w:rPr>
        <w:t>(3)</w:t>
      </w:r>
      <w:r>
        <w:rPr>
          <w:rFonts w:ascii="Palatino Linotype" w:eastAsia="Palatino Linotype" w:hAnsi="Palatino Linotype" w:cs="Palatino Linotype"/>
        </w:rPr>
        <w:fldChar w:fldCharType="end"/>
      </w:r>
      <w:r>
        <w:rPr>
          <w:rFonts w:ascii="Palatino Linotype" w:eastAsia="Palatino Linotype" w:hAnsi="Palatino Linotype" w:cs="Palatino Linotype"/>
        </w:rPr>
        <w:t>.</w:t>
      </w:r>
      <w:r w:rsidR="00186CDA" w:rsidRPr="00186CDA">
        <w:rPr>
          <w:rFonts w:ascii="Palatino Linotype" w:eastAsia="Palatino Linotype" w:hAnsi="Palatino Linotype" w:cs="Palatino Linotype"/>
        </w:rPr>
        <w:t xml:space="preserve"> </w:t>
      </w:r>
      <w:r w:rsidR="00186CDA">
        <w:rPr>
          <w:rFonts w:ascii="Palatino Linotype" w:eastAsia="Palatino Linotype" w:hAnsi="Palatino Linotype" w:cs="Palatino Linotype"/>
        </w:rPr>
        <w:t xml:space="preserve">Measuring actual levels of attendance however, can be difficult and have only been done by a few studies for the National Parks </w:t>
      </w:r>
      <w:r w:rsidR="00186CDA">
        <w:rPr>
          <w:rFonts w:ascii="Palatino Linotype" w:eastAsia="Palatino Linotype" w:hAnsi="Palatino Linotype" w:cs="Palatino Linotype"/>
        </w:rPr>
        <w:fldChar w:fldCharType="begin"/>
      </w:r>
      <w:r w:rsidR="00186CDA">
        <w:rPr>
          <w:rFonts w:ascii="Palatino Linotype" w:eastAsia="Palatino Linotype" w:hAnsi="Palatino Linotype" w:cs="Palatino Linotype"/>
        </w:rPr>
        <w:instrText xml:space="preserve"> ADDIN ZOTERO_ITEM CSL_CITATION {"citationID":"G2kukBS5","properties":{"formattedCitation":"(4, 5)","plainCitation":"(4, 5)","noteIndex":0},"citationItems":[{"id":16711,"uris":["http://zotero.org/users/7833312/items/SDYAVBGV"],"itemData":{"id":16711,"type":"article-journal","abstract":"Understanding why some parks are used more regularly or intensely than others can inform ways in which urban parkland is developed and managed to meet the needs of a rapidly expanding urban population. Although geolocated social media (GSM) indicators have been used to examine park visitation rates, studies applying this approach are generally limited to ﬂagship parks, national parks, or a small subset of urban parks. Here, we use geolocated Flickr and Twitter data to explore variation in use across New York City's 2143 diverse parks and model visitation based on spatially-explicit park characteristics and facilities, neighborhood-level accessibility features and neighborhood-level demographics. Findings indicate that social media activity in parks is positively correlated with proximity to public transportation and bike routes, as well as particular park characteristics such as water bodies, athletic facilities, and impervious surfaces, but negatively associated with green space and increased proportion of minority ethnicity and minority race in neighborhoods in which parks are located. Contrary to previous studies which describe park visitation as a form of nature-based recreation, our ﬁndings indicate that the kinds of green spaces present in many parks may not motivate visitation. From a social equity perspective, our ﬁndings may imply that parks in high-minority neighborhoods are not as accessible, do not accommodate as many visitors, and/or are of lower quality than those in low-minority neighborhoods. These implications are consistent with previous studies showing that minority populations disproportionately experience barriers to park access. In applying GSM data to questions of park access, we demonstrate a rapid, big data approach for providing information crucial for park management in a way that is less resource-intensive than ﬁeld surveys.","container-title":"Computers, Environment and Urban Systems","DOI":"10.1016/j.compenvurbsys.2018.01.007","ISSN":"01989715","journalAbbreviation":"Computers, Environment and Urban Systems","language":"en","page":"38-50","source":"DOI.org (Crossref)","title":"Geolocated social media as a rapid indicator of park visitation and equitable park access","volume":"72","author":[{"family":"Hamstead","given":"Zoé A."},{"family":"Fisher","given":"David"},{"family":"Ilieva","given":"Rositsa T."},{"family":"Wood","given":"Spencer A."},{"family":"McPhearson","given":"Timon"},{"family":"Kremer","given":"Peleg"}],"issued":{"date-parts":[["2018",11]]}}},{"id":16713,"uris":["http://zotero.org/users/7833312/items/8E4I9LC9"],"itemData":{"id":16713,"type":"article-journal","abstract":"The degree to which many benefits of national parks are realized hinges on public access. Traditional methods in estimating park visitation can be time-consuming, costly, and labor-intensive. Fortunately, the growing availability of ‘big data’ offers new opportunities for rapid and large-scale estimation. This study investigated the spatiotemporal dynamics in visitation to all National Park Service (NPS) units in the contiguous U.S. and explored associated sociodemographic factors using fine-grained SafeGraph mobile device location data. We found that people tend to travel less frequently and in a shorter distance to visit NPS units in both 2020 and 2021 vs. 2019. During the pandemic, people preferred visiting national parks and nature-based NPS units over cultureoriented ones relative to pre-pandemic levels. Most importantly, this study highlights a long-standing social inequity – the groups of minorities (i.e., Blacks, Asians, and Hispanics) and lower-income were less likely to visit NPS units than Whites and higher-income, respectively.","container-title":"Tourism Management Perspectives","DOI":"10.1016/j.tmp.2023.101143","ISSN":"22119736","journalAbbreviation":"Tourism Management Perspectives","language":"en","page":"101143","source":"DOI.org (Crossref)","title":"Spatial, temporal, and social dynamics in visitation to U.S. national parks: A big data approach","title-short":"Spatial, temporal, and social dynamics in visitation to U.S. national parks","volume":"48","author":[{"family":"Lu","given":"Junyu"},{"family":"Huang","given":"Xiao"},{"family":"Kupfer","given":"John A."},{"family":"Xiao","given":"Xiao"},{"family":"Li","given":"Zhenlong"},{"family":"Wei","given":"Hanxue"},{"family":"Wang","given":"Sicheng"},{"family":"Zhu","given":"Liao"}],"issued":{"date-parts":[["2023",9]]}}}],"schema":"https://github.com/citation-style-language/schema/raw/master/csl-citation.json"} </w:instrText>
      </w:r>
      <w:r w:rsidR="00186CDA">
        <w:rPr>
          <w:rFonts w:ascii="Palatino Linotype" w:eastAsia="Palatino Linotype" w:hAnsi="Palatino Linotype" w:cs="Palatino Linotype"/>
        </w:rPr>
        <w:fldChar w:fldCharType="separate"/>
      </w:r>
      <w:r w:rsidR="00186CDA" w:rsidRPr="00147F0E">
        <w:rPr>
          <w:rFonts w:ascii="Palatino Linotype" w:hAnsi="Palatino Linotype"/>
        </w:rPr>
        <w:t>(4, 5)</w:t>
      </w:r>
      <w:r w:rsidR="00186CDA">
        <w:rPr>
          <w:rFonts w:ascii="Palatino Linotype" w:eastAsia="Palatino Linotype" w:hAnsi="Palatino Linotype" w:cs="Palatino Linotype"/>
        </w:rPr>
        <w:fldChar w:fldCharType="end"/>
      </w:r>
      <w:r w:rsidR="00186CDA">
        <w:rPr>
          <w:rFonts w:ascii="Palatino Linotype" w:eastAsia="Palatino Linotype" w:hAnsi="Palatino Linotype" w:cs="Palatino Linotype"/>
        </w:rPr>
        <w:t xml:space="preserve"> and none have addressed the full complexity of management schemes.</w:t>
      </w:r>
    </w:p>
    <w:p w14:paraId="44874D97" w14:textId="77777777" w:rsidR="008F0C23" w:rsidRDefault="008F0C23" w:rsidP="00FD5D62">
      <w:pPr>
        <w:rPr>
          <w:rFonts w:ascii="Palatino Linotype" w:eastAsia="Palatino Linotype" w:hAnsi="Palatino Linotype" w:cs="Palatino Linotype"/>
        </w:rPr>
      </w:pPr>
    </w:p>
    <w:p w14:paraId="6C199764" w14:textId="394D05A5" w:rsidR="001248C3" w:rsidRDefault="005B0634" w:rsidP="00FD5D62">
      <w:pPr>
        <w:rPr>
          <w:rFonts w:ascii="Palatino Linotype" w:eastAsia="Palatino Linotype" w:hAnsi="Palatino Linotype" w:cs="Palatino Linotype"/>
        </w:rPr>
      </w:pPr>
      <w:r>
        <w:rPr>
          <w:rFonts w:ascii="Palatino Linotype" w:eastAsia="Palatino Linotype" w:hAnsi="Palatino Linotype" w:cs="Palatino Linotype"/>
        </w:rPr>
        <w:t xml:space="preserve">Understanding how human mobility and modification is </w:t>
      </w:r>
      <w:r w:rsidR="008F0C23">
        <w:rPr>
          <w:rFonts w:ascii="Palatino Linotype" w:eastAsia="Palatino Linotype" w:hAnsi="Palatino Linotype" w:cs="Palatino Linotype"/>
        </w:rPr>
        <w:t>spread across the landscape</w:t>
      </w:r>
      <w:r>
        <w:rPr>
          <w:rFonts w:ascii="Palatino Linotype" w:eastAsia="Palatino Linotype" w:hAnsi="Palatino Linotype" w:cs="Palatino Linotype"/>
        </w:rPr>
        <w:t xml:space="preserve"> is key for determining how to continue to manage these areas for their conservation goals</w:t>
      </w:r>
      <w:r w:rsidR="007D4E87">
        <w:rPr>
          <w:rFonts w:ascii="Palatino Linotype" w:eastAsia="Palatino Linotype" w:hAnsi="Palatino Linotype" w:cs="Palatino Linotype"/>
        </w:rPr>
        <w:t xml:space="preserve"> and </w:t>
      </w:r>
      <w:r w:rsidR="007D4E87">
        <w:rPr>
          <w:rFonts w:ascii="Palatino Linotype" w:eastAsia="Palatino Linotype" w:hAnsi="Palatino Linotype" w:cs="Palatino Linotype"/>
        </w:rPr>
        <w:t xml:space="preserve">the equity of distribution and access </w:t>
      </w:r>
      <w:r w:rsidR="007D4E87">
        <w:rPr>
          <w:rFonts w:ascii="Palatino Linotype" w:eastAsia="Palatino Linotype" w:hAnsi="Palatino Linotype" w:cs="Palatino Linotype"/>
        </w:rPr>
        <w:fldChar w:fldCharType="begin"/>
      </w:r>
      <w:r w:rsidR="007D4E87">
        <w:rPr>
          <w:rFonts w:ascii="Palatino Linotype" w:eastAsia="Palatino Linotype" w:hAnsi="Palatino Linotype" w:cs="Palatino Linotype"/>
        </w:rPr>
        <w:instrText xml:space="preserve"> ADDIN ZOTERO_ITEM CSL_CITATION {"citationID":"gCAaURTR","properties":{"formattedCitation":"(5, 6)","plainCitation":"(5, 6)","noteIndex":0},"citationItems":[{"id":16713,"uris":["http://zotero.org/users/7833312/items/8E4I9LC9"],"itemData":{"id":16713,"type":"article-journal","abstract":"The degree to which many benefits of national parks are realized hinges on public access. Traditional methods in estimating park visitation can be time-consuming, costly, and labor-intensive. Fortunately, the growing availability of ‘big data’ offers new opportunities for rapid and large-scale estimation. This study investigated the spatiotemporal dynamics in visitation to all National Park Service (NPS) units in the contiguous U.S. and explored associated sociodemographic factors using fine-grained SafeGraph mobile device location data. We found that people tend to travel less frequently and in a shorter distance to visit NPS units in both 2020 and 2021 vs. 2019. During the pandemic, people preferred visiting national parks and nature-based NPS units over cultureoriented ones relative to pre-pandemic levels. Most importantly, this study highlights a long-standing social inequity – the groups of minorities (i.e., Blacks, Asians, and Hispanics) and lower-income were less likely to visit NPS units than Whites and higher-income, respectively.","container-title":"Tourism Management Perspectives","DOI":"10.1016/j.tmp.2023.101143","ISSN":"22119736","journalAbbreviation":"Tourism Management Perspectives","language":"en","page":"101143","source":"DOI.org (Crossref)","title":"Spatial, temporal, and social dynamics in visitation to U.S. national parks: A big data approach","title-short":"Spatial, temporal, and social dynamics in visitation to U.S. national parks","volume":"48","author":[{"family":"Lu","given":"Junyu"},{"family":"Huang","given":"Xiao"},{"family":"Kupfer","given":"John A."},{"family":"Xiao","given":"Xiao"},{"family":"Li","given":"Zhenlong"},{"family":"Wei","given":"Hanxue"},{"family":"Wang","given":"Sicheng"},{"family":"Zhu","given":"Liao"}],"issued":{"date-parts":[["2023",9]]}}},{"id":16717,"uris":["http://zotero.org/users/7833312/items/9PTIDTYZ"],"itemData":{"id":16717,"type":"article-journal","abstract":"The mission of the U.S. National Park Service (NPS) is increasingly challenged by underrepresentation of visitors from low-income and racial/ethnic minority backgrounds. To better understand attributes of Americans who do and do not visit national parks, we used data from a national general population survey (N ¼ 4,103) to examine the sociodemographic characteristics, constraints to visitation, and vacation preferences among three groups of NPS visitors (recent visitors, past visitors, and non-visitors). Results revealed significant differences in constraints and preferences among the three groups. Black, Hispanic, and lower-income respondents were least likely to visit NPS sites. Compared to White respondents, they were also less aware of NPS units, more concerned about safety, and more likely to prefer alternative vacations such as sporting events, theme parks, and socially and culturally oriented destinations. Results underscore the need for the NPS to enhance relevancy and diversity by providing attractive and accessible recreation opportunities for historically marginalized groups.","container-title":"Journal of Leisure Research","DOI":"10.1080/00222216.2021.1899776","ISSN":"0022-2216, 2159-6417","issue":"3","journalAbbreviation":"Journal of Leisure Research","language":"en","page":"404-425","source":"DOI.org (Crossref)","title":"Who visits U.S. national parks (and who doesn’t)? A national study of perceived constraints and vacation preferences across diverse populations","title-short":"Who visits U.S. national parks (and who doesn’t)?","volume":"53","author":[{"family":"Xiao","given":"Xiao"},{"family":"Lee","given":"KangJae Jerry"},{"family":"Larson","given":"Lincoln R."}],"issued":{"date-parts":[["2022",5,27]]}}}],"schema":"https://github.com/citation-style-language/schema/raw/master/csl-citation.json"} </w:instrText>
      </w:r>
      <w:r w:rsidR="007D4E87">
        <w:rPr>
          <w:rFonts w:ascii="Palatino Linotype" w:eastAsia="Palatino Linotype" w:hAnsi="Palatino Linotype" w:cs="Palatino Linotype"/>
        </w:rPr>
        <w:fldChar w:fldCharType="separate"/>
      </w:r>
      <w:r w:rsidR="007D4E87" w:rsidRPr="00147F0E">
        <w:rPr>
          <w:rFonts w:ascii="Palatino Linotype" w:hAnsi="Palatino Linotype"/>
        </w:rPr>
        <w:t>(5, 6)</w:t>
      </w:r>
      <w:r w:rsidR="007D4E87">
        <w:rPr>
          <w:rFonts w:ascii="Palatino Linotype" w:eastAsia="Palatino Linotype" w:hAnsi="Palatino Linotype" w:cs="Palatino Linotype"/>
        </w:rPr>
        <w:fldChar w:fldCharType="end"/>
      </w:r>
      <w:r w:rsidR="007D4E87">
        <w:rPr>
          <w:rFonts w:ascii="Palatino Linotype" w:eastAsia="Palatino Linotype" w:hAnsi="Palatino Linotype" w:cs="Palatino Linotype"/>
        </w:rPr>
        <w:t>.</w:t>
      </w:r>
      <w:r w:rsidR="00506730">
        <w:rPr>
          <w:rFonts w:ascii="Palatino Linotype" w:eastAsia="Palatino Linotype" w:hAnsi="Palatino Linotype" w:cs="Palatino Linotype"/>
        </w:rPr>
        <w:t xml:space="preserve"> </w:t>
      </w:r>
      <w:r w:rsidR="007D4E87">
        <w:rPr>
          <w:rFonts w:ascii="Palatino Linotype" w:eastAsia="Palatino Linotype" w:hAnsi="Palatino Linotype" w:cs="Palatino Linotype"/>
        </w:rPr>
        <w:t xml:space="preserve">To do this, we need to gain a more complete </w:t>
      </w:r>
      <w:r w:rsidR="007D4E87">
        <w:rPr>
          <w:rFonts w:ascii="Palatino Linotype" w:eastAsia="Palatino Linotype" w:hAnsi="Palatino Linotype" w:cs="Palatino Linotype"/>
        </w:rPr>
        <w:t xml:space="preserve">understanding of who is visiting </w:t>
      </w:r>
      <w:r w:rsidR="007D4E87">
        <w:rPr>
          <w:rFonts w:ascii="Palatino Linotype" w:eastAsia="Palatino Linotype" w:hAnsi="Palatino Linotype" w:cs="Palatino Linotype"/>
        </w:rPr>
        <w:t xml:space="preserve">certain </w:t>
      </w:r>
      <w:r w:rsidR="00A51AF0">
        <w:rPr>
          <w:rFonts w:ascii="Palatino Linotype" w:eastAsia="Palatino Linotype" w:hAnsi="Palatino Linotype" w:cs="Palatino Linotype"/>
        </w:rPr>
        <w:t>types of</w:t>
      </w:r>
      <w:r w:rsidR="007D4E87">
        <w:rPr>
          <w:rFonts w:ascii="Palatino Linotype" w:eastAsia="Palatino Linotype" w:hAnsi="Palatino Linotype" w:cs="Palatino Linotype"/>
        </w:rPr>
        <w:t xml:space="preserve"> </w:t>
      </w:r>
      <w:r w:rsidR="007D4E87">
        <w:rPr>
          <w:rFonts w:ascii="Palatino Linotype" w:eastAsia="Palatino Linotype" w:hAnsi="Palatino Linotype" w:cs="Palatino Linotype"/>
        </w:rPr>
        <w:t>protected areas</w:t>
      </w:r>
      <w:r w:rsidR="007D4E87">
        <w:rPr>
          <w:rFonts w:ascii="Palatino Linotype" w:eastAsia="Palatino Linotype" w:hAnsi="Palatino Linotype" w:cs="Palatino Linotype"/>
        </w:rPr>
        <w:t xml:space="preserve">. There are </w:t>
      </w:r>
      <w:r w:rsidR="00506730">
        <w:rPr>
          <w:rFonts w:ascii="Palatino Linotype" w:eastAsia="Palatino Linotype" w:hAnsi="Palatino Linotype" w:cs="Palatino Linotype"/>
        </w:rPr>
        <w:t>many differences</w:t>
      </w:r>
      <w:r w:rsidR="007D4E87">
        <w:rPr>
          <w:rFonts w:ascii="Palatino Linotype" w:eastAsia="Palatino Linotype" w:hAnsi="Palatino Linotype" w:cs="Palatino Linotype"/>
        </w:rPr>
        <w:t xml:space="preserve"> in </w:t>
      </w:r>
      <w:r w:rsidR="00A51AF0">
        <w:rPr>
          <w:rFonts w:ascii="Palatino Linotype" w:eastAsia="Palatino Linotype" w:hAnsi="Palatino Linotype" w:cs="Palatino Linotype"/>
        </w:rPr>
        <w:t>California’s protected area management</w:t>
      </w:r>
      <w:r w:rsidR="007D4E87">
        <w:rPr>
          <w:rFonts w:ascii="Palatino Linotype" w:eastAsia="Palatino Linotype" w:hAnsi="Palatino Linotype" w:cs="Palatino Linotype"/>
        </w:rPr>
        <w:t xml:space="preserve"> scheme</w:t>
      </w:r>
      <w:r w:rsidR="00A51AF0">
        <w:rPr>
          <w:rFonts w:ascii="Palatino Linotype" w:eastAsia="Palatino Linotype" w:hAnsi="Palatino Linotype" w:cs="Palatino Linotype"/>
        </w:rPr>
        <w:t>s</w:t>
      </w:r>
      <w:r w:rsidR="007D4E87">
        <w:rPr>
          <w:rFonts w:ascii="Palatino Linotype" w:eastAsia="Palatino Linotype" w:hAnsi="Palatino Linotype" w:cs="Palatino Linotype"/>
        </w:rPr>
        <w:t>, from who is allowed access (open public, restricted public, or no public access), the intent of the protected area (i.e., GAP Status), and management entity (i.e., private, government, etc.).</w:t>
      </w:r>
      <w:r w:rsidR="00BA644F">
        <w:rPr>
          <w:rFonts w:ascii="Palatino Linotype" w:eastAsia="Palatino Linotype" w:hAnsi="Palatino Linotype" w:cs="Palatino Linotype"/>
        </w:rPr>
        <w:t xml:space="preserve"> </w:t>
      </w:r>
      <w:r w:rsidR="008F0C23">
        <w:rPr>
          <w:rFonts w:ascii="Palatino Linotype" w:eastAsia="Palatino Linotype" w:hAnsi="Palatino Linotype" w:cs="Palatino Linotype"/>
        </w:rPr>
        <w:t xml:space="preserve">On top of understanding the “volume” of use, determining the spatial and temporal </w:t>
      </w:r>
      <w:r w:rsidR="00480F76">
        <w:rPr>
          <w:rFonts w:ascii="Palatino Linotype" w:eastAsia="Palatino Linotype" w:hAnsi="Palatino Linotype" w:cs="Palatino Linotype"/>
        </w:rPr>
        <w:t>patterns,</w:t>
      </w:r>
      <w:r w:rsidR="00BA644F">
        <w:rPr>
          <w:rFonts w:ascii="Palatino Linotype" w:eastAsia="Palatino Linotype" w:hAnsi="Palatino Linotype" w:cs="Palatino Linotype"/>
        </w:rPr>
        <w:t xml:space="preserve"> and l</w:t>
      </w:r>
      <w:r w:rsidR="001248C3">
        <w:rPr>
          <w:rFonts w:ascii="Palatino Linotype" w:eastAsia="Palatino Linotype" w:hAnsi="Palatino Linotype" w:cs="Palatino Linotype"/>
        </w:rPr>
        <w:t>everaging both mobility and modification can provide a clearer picture of protected area use.</w:t>
      </w:r>
    </w:p>
    <w:p w14:paraId="79D32C05" w14:textId="7F25EF46" w:rsidR="00983593" w:rsidRPr="00183E6A" w:rsidRDefault="00983593" w:rsidP="00FD5D62">
      <w:pPr>
        <w:rPr>
          <w:rFonts w:ascii="Palatino Linotype" w:eastAsia="Palatino Linotype" w:hAnsi="Palatino Linotype" w:cs="Palatino Linotype"/>
        </w:rPr>
      </w:pPr>
    </w:p>
    <w:p w14:paraId="215654E8" w14:textId="086C0611" w:rsidR="00A71AFE" w:rsidRDefault="00771BB4" w:rsidP="00FD5D62">
      <w:pPr>
        <w:rPr>
          <w:rFonts w:ascii="Palatino Linotype" w:eastAsia="Palatino Linotype" w:hAnsi="Palatino Linotype" w:cs="Palatino Linotype"/>
          <w:b/>
          <w:bCs/>
        </w:rPr>
      </w:pPr>
      <w:r w:rsidRPr="00DB2DAD">
        <w:rPr>
          <w:rFonts w:ascii="Palatino Linotype" w:eastAsia="Palatino Linotype" w:hAnsi="Palatino Linotype" w:cs="Palatino Linotype"/>
          <w:b/>
          <w:bCs/>
        </w:rPr>
        <w:t>Objective</w:t>
      </w:r>
      <w:r w:rsidR="000C1D7B">
        <w:rPr>
          <w:rFonts w:ascii="Palatino Linotype" w:eastAsia="Palatino Linotype" w:hAnsi="Palatino Linotype" w:cs="Palatino Linotype"/>
          <w:b/>
          <w:bCs/>
        </w:rPr>
        <w:t>:</w:t>
      </w:r>
    </w:p>
    <w:p w14:paraId="13ED96AB" w14:textId="10CC7674" w:rsidR="00E76F8D" w:rsidRDefault="008C6E8E" w:rsidP="00E76F8D">
      <w:pPr>
        <w:rPr>
          <w:rFonts w:ascii="Palatino Linotype" w:eastAsia="Palatino Linotype" w:hAnsi="Palatino Linotype" w:cs="Palatino Linotype"/>
        </w:rPr>
      </w:pPr>
      <w:r w:rsidRPr="008C6E8E">
        <w:rPr>
          <w:rFonts w:ascii="Palatino Linotype" w:eastAsia="Palatino Linotype" w:hAnsi="Palatino Linotype" w:cs="Palatino Linotype"/>
        </w:rPr>
        <w:t xml:space="preserve">In this paper, we propose </w:t>
      </w:r>
      <w:r>
        <w:rPr>
          <w:rFonts w:ascii="Palatino Linotype" w:eastAsia="Palatino Linotype" w:hAnsi="Palatino Linotype" w:cs="Palatino Linotype"/>
        </w:rPr>
        <w:t>to characterize human usage of protected areas</w:t>
      </w:r>
      <w:r w:rsidR="00711A34">
        <w:rPr>
          <w:rFonts w:ascii="Palatino Linotype" w:eastAsia="Palatino Linotype" w:hAnsi="Palatino Linotype" w:cs="Palatino Linotype"/>
        </w:rPr>
        <w:t xml:space="preserve"> </w:t>
      </w:r>
      <w:r w:rsidR="00711A34">
        <w:rPr>
          <w:rFonts w:ascii="Palatino Linotype" w:eastAsia="Palatino Linotype" w:hAnsi="Palatino Linotype" w:cs="Palatino Linotype"/>
        </w:rPr>
        <w:fldChar w:fldCharType="begin"/>
      </w:r>
      <w:r w:rsidR="00711A34">
        <w:rPr>
          <w:rFonts w:ascii="Palatino Linotype" w:eastAsia="Palatino Linotype" w:hAnsi="Palatino Linotype" w:cs="Palatino Linotype"/>
        </w:rPr>
        <w:instrText xml:space="preserve"> ADDIN ZOTERO_ITEM CSL_CITATION {"citationID":"IbbOb4yw","properties":{"formattedCitation":"(2)","plainCitation":"(2)","noteIndex":0},"citationItems":[{"id":16731,"uris":["http://zotero.org/users/7833312/items/FY5XV5W7"],"itemData":{"id":16731,"type":"dataset","abstract":"The USGS Protected Areas Database of the United States (PAD-US) is the nation's inventory of protected areas, including public land and voluntarily provided private protected areas, identified as an A-16 National Geospatial Data Asset in the Cadastre Theme ( https://communities.geoplatform.gov/ngda-cadastre/ ). The PAD-US is an ongoing project with several published versions of a spatial database including areas dedicated to the preservation of biological diversity, and other natural (including extraction), recreational, or cultural uses, managed for these purposes through legal or other effective means. The database was originally designed to support biodiversity assessments; however, its scope expanded in recent years to include all open space public and nonprofit lands and waters. Most are public lands owned in fee (the owner of the property has full and irrevocable ownership of the land); however, permanent and long-term easements, leases, agreements, Congressional (e.g. 'Wilderness Area'), Executive (e.g. 'National Monument'), and administrative designations (e.g. 'Area of Critical Environmental Concern') documented in agency management plans are also included. The PAD-US strives to be a complete inventory of U.S. public land and other protected areas, compiling &amp;amp;ldquo;best available&amp;amp;rdquo; data provided by managing agencies and organizations. The PAD-US geodatabase maps and describes areas using thirty-six attributes and five separate feature classes representing the U.S. protected areas network: Fee (ownership parcels), Designation, Easement, Marine, Proclamation and Other Planning Boundaries. An additional Combined feature class includes the full PAD-US inventory to support data management, queries, web mapping services, and analyses. The Feature Class (FeatClass) field in the Combined layer allows users to extract data types as needed. A Federal Data Reference file geodatabase lookup table (PADUS3_0Combined_Federal_Data_References) facilitates the extraction of authoritative federal data provided or recommended by managing agencies from the Combined PAD-US inventory.\n\nThis PAD-US Version 3.0 dataset includes a variety of updates from the previous Version 2.1 dataset (USGS, 2020, https://doi.org/10.5066/P92QM3NT ), achieving goals to: 1) Annually update and improve spatial data representing the federal estate for PAD-US applications; 2) Update state and local lands data as state data-steward and PAD-US Team resources allow; and 3) Automate data translation efforts to increase PAD-US update efficiency. The following list summarizes the integration of &amp;amp;quot;best available&amp;amp;quot; spatial data to ensure public lands and other protected areas from all jurisdictions are represented in the PAD-US (other data were transferred from PAD-US 2.1).\n\nFederal updates - The USGS remains committed to updating federal fee owned lands data and major designation changes in annual PAD-US updates, where authoritative data provided directly by managing agencies are available or alternative data sources are recommended. The following is a list of updates or revisions associated with the federal estate:\n\n1) Major update of the Federal estate (fee ownership parcels, easement interest, and management designations where available), including authoritative data from 8 agencies: Bureau of Land Management (BLM), U.S. Census Bureau (Census Bureau), Department of Defense (DOD), U.S. Fish and Wildlife Service (FWS), National Park Service (NPS), Natural Resources Conservation Service (NRCS), U.S. Forest Service (USFS), and National Oceanic and Atmospheric Administration (NOAA). The federal theme in PAD-US is developed in close collaboration with the Federal Geographic Data Committee (FGDC) Federal Lands Working Group (FLWG, https://communities.geoplatform.gov/ngda-govunits/federal-lands-workgroup/ ).\n\n2) Improved the representation (boundaries and attributes) of the National Park Service, U.S. Forest Service, Bureau of Land Management, and U.S. Fish and Wildlife Service lands, in collaboration with agency data-stewards, in response to feedback from the PAD-US Team and stakeholders.\n\n3) Added a Federal Data Reference file geodatabase lookup table (PADUS3_0Combined_Federal_Data_References) to the PAD-US 3.0 geodatabase to facilitate the extraction (by Data Provider, Dataset Name, and/or Aggregator Source) of authoritative data provided directly (or recommended) by federal managing agencies from the full PAD-US inventory. A summary of the number of records (Frequency) and calculated GIS Acres (vs Documented Acres) associated with features provided by each Aggregator Source is included; however, the number of records may vary from source data as the &amp;amp;quot;State Name&amp;amp;quot; standard is applied to national files. The Feature Class (FeatClass) field in the table and geodatabase describe the data type to highlight overlapping features in the full inventory (e.g. Designation features often overlap Fee features) and to assist users in building queries for applications as needed.\n\n4) Scripted the translation of the Department of Defense, Census Bureau, and Natural Resource Conservation Service source data into the PAD-US format to increase update efficiency.\n\n5) Revised conservation measures (GAP Status Code, IUCN Category) to more accurately represent protected and conserved areas. For example, Fish and Wildlife Service (FWS) Waterfowl Production Area Wetland Easements changed from GAP Status Code 2 to 4 as spatial data currently represents the complete parcel (about 10.54 million acres primarily in North Dakota and South Dakota). Only aliquot parts of these parcels are documented under wetland easement (1.64 million acres). These acreages are provided by the U.S. Fish and Wildlife Service and are referenced in the PAD-US geodatabase Easement feature class 'Comments' field.\n\nState updates - The USGS is committed to building capacity in the state data-steward network and the PAD-US Team to increase the frequency of state land updates, as resources allow. The USGS supported efforts to significantly increase state inventory completeness with the integration of local parks data in the PAD-US 2.1, and developed a state-to-PAD-US data translation script during PAD-US 3.0 development to pilot in future updates. Additional efforts are in progress to support the technical and organizational strategies needed to increase the frequency of state updates. The PAD-US 3.0 included major updates to the following three states:\n\n1) California - added or updated state, regional, local, and nonprofit lands data from the California Protected Areas Database (CPAD), managed by GreenInfo Network, and integrated conservation and recreation measure changes following review coordinated by the data-steward with state managing agencies. Developed a data translation Python script (see Process Step 2 Source Data Documentation) in collaboration with the data-steward to increase the accuracy and efficiency of future PAD-US updates from CPAD.\n\n2) Virginia - added or updated state, local, and nonprofit protected areas data (and removed legacy data) from the Virginia Conservation Lands Database, provided by the Virginia Department of Conservation and Recreation's Natural Heritage Program, and integrated conservation and recreation measure changes following review by the data-steward.\n\n3) West Virginia - added or updated state, local, and nonprofit protected areas data provided by the West Virginia University, GIS Technical Center.\n\nFor more information regarding the PAD-US dataset please visit, https://www.usgs.gov/gapanalysis/PAD-US/.  For more information about data aggregation please review the PAD-US Data Manual available at https://www.usgs.gov/core-science-systems/science-analytics-and-synthesis/gap/pad-us-data-manual .\n\nA version history of PAD-US updates is summarized below (See https://www.usgs.gov/core-science-systems/science-analytics-and-synthesis/gap/pad-us-data-history for more information):\n1) First posted - April 2009 (Version 1.0 - available from the PAD-US: Team pad-us@usgs.gov).\n2) Revised - May 2010 (Version 1.1 - available from the PAD-US: Team pad-us@usgs.gov).\n3) Revised - April 2011 (Version 1.2 - available from the PAD-US: Team pad-us@usgs.gov).\n4) Revised - November 2012 (Version 1.3) https://doi.org/10.5066/F79Z92XD\n5) Revised - May 2016 (Version 1.4) https://doi.org/10.5066/F7G73BSZ\n6) Revised - September 2018 (Version 2.0) https://doi.org/10.5066/P955KPLE\n7) Revised - September 2020 (Version 2.1) https://doi.org/10.5066/P92QM3NT\n8) Revised - January 2022 (Version 3.0) https://doi.org/10.5066/P9Q9LQ4B  \nComparing protected area trends between PAD-US versions is not recommended without consultation with USGS as many changes reflect improvements to agency and organization GIS systems, or conservation and recreation measure classification, rather than actual changes in protected area acquisition on the ground.","DOI":"10.5066/P9Q9LQ4B","source":"DOI.org (Datacite)","title":"Protected Areas Database of the United States (PAD-US) 3.0 (ver. 2.0, March 2023)","URL":"https://www.sciencebase.gov/catalog/item/61794fc2d34ea58c3c6f9f69","author":[{"literal":"U.S. Geological Survey (USGS) Gap Analysis Project (GAP)"}],"accessed":{"date-parts":[["2024",4,19]]},"issued":{"date-parts":[["2023",3,20]]}}}],"schema":"https://github.com/citation-style-language/schema/raw/master/csl-citation.json"} </w:instrText>
      </w:r>
      <w:r w:rsidR="00711A34">
        <w:rPr>
          <w:rFonts w:ascii="Palatino Linotype" w:eastAsia="Palatino Linotype" w:hAnsi="Palatino Linotype" w:cs="Palatino Linotype"/>
        </w:rPr>
        <w:fldChar w:fldCharType="separate"/>
      </w:r>
      <w:r w:rsidR="00711A34" w:rsidRPr="00711A34">
        <w:rPr>
          <w:rFonts w:ascii="Palatino Linotype" w:hAnsi="Palatino Linotype"/>
        </w:rPr>
        <w:t>(2)</w:t>
      </w:r>
      <w:r w:rsidR="00711A34">
        <w:rPr>
          <w:rFonts w:ascii="Palatino Linotype" w:eastAsia="Palatino Linotype" w:hAnsi="Palatino Linotype" w:cs="Palatino Linotype"/>
        </w:rPr>
        <w:fldChar w:fldCharType="end"/>
      </w:r>
      <w:r>
        <w:rPr>
          <w:rFonts w:ascii="Palatino Linotype" w:eastAsia="Palatino Linotype" w:hAnsi="Palatino Linotype" w:cs="Palatino Linotype"/>
        </w:rPr>
        <w:t>, in terms of both human development (represented by modification indices) and human mobility (represented by SafeGraph cell phone counts and Strava usage)</w:t>
      </w:r>
      <w:r w:rsidR="00E76F8D">
        <w:rPr>
          <w:rFonts w:ascii="Palatino Linotype" w:eastAsia="Palatino Linotype" w:hAnsi="Palatino Linotype" w:cs="Palatino Linotype"/>
        </w:rPr>
        <w:t xml:space="preserve"> by clustering based on a nMDS</w:t>
      </w:r>
      <w:r w:rsidR="00941329">
        <w:rPr>
          <w:rFonts w:ascii="Palatino Linotype" w:eastAsia="Palatino Linotype" w:hAnsi="Palatino Linotype" w:cs="Palatino Linotype"/>
        </w:rPr>
        <w:t xml:space="preserve"> and assess volume of use, as well as the spatial and temporal patterns</w:t>
      </w:r>
      <w:r>
        <w:rPr>
          <w:rFonts w:ascii="Palatino Linotype" w:eastAsia="Palatino Linotype" w:hAnsi="Palatino Linotype" w:cs="Palatino Linotype"/>
        </w:rPr>
        <w:t>.</w:t>
      </w:r>
      <w:r w:rsidR="001248C3">
        <w:rPr>
          <w:rFonts w:ascii="Palatino Linotype" w:eastAsia="Palatino Linotype" w:hAnsi="Palatino Linotype" w:cs="Palatino Linotype"/>
        </w:rPr>
        <w:t xml:space="preserve"> </w:t>
      </w:r>
      <w:r w:rsidR="00941329">
        <w:rPr>
          <w:rFonts w:ascii="Palatino Linotype" w:eastAsia="Palatino Linotype" w:hAnsi="Palatino Linotype" w:cs="Palatino Linotype"/>
        </w:rPr>
        <w:t>We plan to answer the following questions using a combination of techniques:</w:t>
      </w:r>
    </w:p>
    <w:p w14:paraId="790C03B0" w14:textId="5B854BE2" w:rsidR="00E76F8D" w:rsidRDefault="00E76F8D" w:rsidP="00E76F8D">
      <w:pPr>
        <w:pStyle w:val="ListParagraph"/>
        <w:numPr>
          <w:ilvl w:val="0"/>
          <w:numId w:val="6"/>
        </w:numPr>
        <w:rPr>
          <w:rFonts w:ascii="Palatino Linotype" w:eastAsia="Palatino Linotype" w:hAnsi="Palatino Linotype" w:cs="Palatino Linotype"/>
        </w:rPr>
      </w:pPr>
      <w:r w:rsidRPr="00E76F8D">
        <w:rPr>
          <w:rFonts w:ascii="Palatino Linotype" w:eastAsia="Palatino Linotype" w:hAnsi="Palatino Linotype" w:cs="Palatino Linotype"/>
        </w:rPr>
        <w:t>How does human usage of protected areas differ between management agencies</w:t>
      </w:r>
      <w:r>
        <w:rPr>
          <w:rFonts w:ascii="Palatino Linotype" w:eastAsia="Palatino Linotype" w:hAnsi="Palatino Linotype" w:cs="Palatino Linotype"/>
        </w:rPr>
        <w:t>, access level, and establishment intent</w:t>
      </w:r>
      <w:r w:rsidRPr="00E76F8D">
        <w:rPr>
          <w:rFonts w:ascii="Palatino Linotype" w:eastAsia="Palatino Linotype" w:hAnsi="Palatino Linotype" w:cs="Palatino Linotype"/>
        </w:rPr>
        <w:t>?</w:t>
      </w:r>
    </w:p>
    <w:p w14:paraId="710CE3C3" w14:textId="77777777" w:rsidR="00E76F8D" w:rsidRDefault="00E76F8D" w:rsidP="00E76F8D">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 xml:space="preserve">How do socioeconomics factors relate to placement of and access to protected areas with different levels of human usage? </w:t>
      </w:r>
    </w:p>
    <w:p w14:paraId="0A1B8BC6" w14:textId="6E64059B" w:rsidR="00B03F92" w:rsidRDefault="00B03F92" w:rsidP="00E76F8D">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How does human use of protected areas vary with time? Are there seasonal patterns? Monthly patterns?</w:t>
      </w:r>
    </w:p>
    <w:p w14:paraId="1746B087" w14:textId="0818E3A8" w:rsidR="00B03F92" w:rsidRDefault="00B03F92" w:rsidP="00E76F8D">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lastRenderedPageBreak/>
        <w:t xml:space="preserve">Within a protected area, </w:t>
      </w:r>
      <w:r w:rsidR="00A61D01">
        <w:rPr>
          <w:rFonts w:ascii="Palatino Linotype" w:eastAsia="Palatino Linotype" w:hAnsi="Palatino Linotype" w:cs="Palatino Linotype"/>
        </w:rPr>
        <w:t xml:space="preserve">do humans use </w:t>
      </w:r>
      <w:r w:rsidR="00317F04">
        <w:rPr>
          <w:rFonts w:ascii="Palatino Linotype" w:eastAsia="Palatino Linotype" w:hAnsi="Palatino Linotype" w:cs="Palatino Linotype"/>
        </w:rPr>
        <w:t>developed</w:t>
      </w:r>
      <w:r w:rsidR="00A61D01">
        <w:rPr>
          <w:rFonts w:ascii="Palatino Linotype" w:eastAsia="Palatino Linotype" w:hAnsi="Palatino Linotype" w:cs="Palatino Linotype"/>
        </w:rPr>
        <w:t xml:space="preserve"> areas </w:t>
      </w:r>
      <w:r w:rsidR="004C2DCE">
        <w:rPr>
          <w:rFonts w:ascii="Palatino Linotype" w:eastAsia="Palatino Linotype" w:hAnsi="Palatino Linotype" w:cs="Palatino Linotype"/>
        </w:rPr>
        <w:t>more than less developed areas</w:t>
      </w:r>
      <w:r w:rsidR="00A61D01">
        <w:rPr>
          <w:rFonts w:ascii="Palatino Linotype" w:eastAsia="Palatino Linotype" w:hAnsi="Palatino Linotype" w:cs="Palatino Linotype"/>
        </w:rPr>
        <w:t xml:space="preserve">? </w:t>
      </w:r>
    </w:p>
    <w:p w14:paraId="2B91F3A3" w14:textId="35151235" w:rsidR="007A1165" w:rsidRPr="005F2F30" w:rsidRDefault="007A1165" w:rsidP="00E76F8D">
      <w:pPr>
        <w:pStyle w:val="ListParagraph"/>
        <w:numPr>
          <w:ilvl w:val="0"/>
          <w:numId w:val="6"/>
        </w:numPr>
        <w:rPr>
          <w:rFonts w:ascii="Palatino Linotype" w:eastAsia="Palatino Linotype" w:hAnsi="Palatino Linotype" w:cs="Palatino Linotype"/>
        </w:rPr>
      </w:pPr>
      <w:r>
        <w:rPr>
          <w:rFonts w:ascii="Palatino Linotype" w:eastAsia="Palatino Linotype" w:hAnsi="Palatino Linotype" w:cs="Palatino Linotype"/>
        </w:rPr>
        <w:t>How heterogenous is human use within individual protected areas?</w:t>
      </w:r>
    </w:p>
    <w:p w14:paraId="1E7FB9B5" w14:textId="77777777" w:rsidR="00E76F8D" w:rsidRDefault="00E76F8D" w:rsidP="00E76F8D">
      <w:pPr>
        <w:rPr>
          <w:rFonts w:ascii="Palatino Linotype" w:eastAsia="Palatino Linotype" w:hAnsi="Palatino Linotype" w:cs="Palatino Linotype"/>
        </w:rPr>
      </w:pPr>
    </w:p>
    <w:p w14:paraId="7AD798BD" w14:textId="0DC6C386" w:rsidR="009B08FA" w:rsidRPr="009B08FA" w:rsidRDefault="009B08FA" w:rsidP="00E76F8D">
      <w:pPr>
        <w:rPr>
          <w:rFonts w:ascii="Palatino Linotype" w:eastAsia="Palatino Linotype" w:hAnsi="Palatino Linotype" w:cs="Palatino Linotype"/>
          <w:b/>
          <w:bCs/>
        </w:rPr>
      </w:pPr>
      <w:r>
        <w:rPr>
          <w:rFonts w:ascii="Palatino Linotype" w:eastAsia="Palatino Linotype" w:hAnsi="Palatino Linotype" w:cs="Palatino Linotype"/>
          <w:b/>
          <w:bCs/>
        </w:rPr>
        <w:t>Methods</w:t>
      </w:r>
      <w:r w:rsidR="00F25184">
        <w:rPr>
          <w:rFonts w:ascii="Palatino Linotype" w:eastAsia="Palatino Linotype" w:hAnsi="Palatino Linotype" w:cs="Palatino Linotype"/>
          <w:b/>
          <w:bCs/>
        </w:rPr>
        <w:t>:</w:t>
      </w:r>
    </w:p>
    <w:p w14:paraId="22657421" w14:textId="2FD79ABC" w:rsidR="00541015" w:rsidRPr="00541015" w:rsidRDefault="00941329" w:rsidP="00E76F8D">
      <w:pPr>
        <w:rPr>
          <w:rFonts w:ascii="Palatino Linotype" w:eastAsia="Palatino Linotype" w:hAnsi="Palatino Linotype" w:cs="Palatino Linotype"/>
        </w:rPr>
      </w:pPr>
      <w:r>
        <w:rPr>
          <w:rFonts w:ascii="Palatino Linotype" w:eastAsia="Palatino Linotype" w:hAnsi="Palatino Linotype" w:cs="Palatino Linotype"/>
        </w:rPr>
        <w:t>We hope to determine how access, GAP status (intent), and manager type relates to mobility and modification using a multinomial generalized linear model (GLM)</w:t>
      </w:r>
      <w:r w:rsidR="00941825">
        <w:rPr>
          <w:rFonts w:ascii="Palatino Linotype" w:eastAsia="Palatino Linotype" w:hAnsi="Palatino Linotype" w:cs="Palatino Linotype"/>
        </w:rPr>
        <w:t xml:space="preserve"> to determine the probability of a protected area with specific features to fall into a specific human use category (based on the nMDS)</w:t>
      </w:r>
      <w:r>
        <w:rPr>
          <w:rFonts w:ascii="Palatino Linotype" w:eastAsia="Palatino Linotype" w:hAnsi="Palatino Linotype" w:cs="Palatino Linotype"/>
        </w:rPr>
        <w:t xml:space="preserve">. </w:t>
      </w:r>
      <w:r w:rsidR="00E76F8D">
        <w:rPr>
          <w:rFonts w:ascii="Palatino Linotype" w:eastAsia="Palatino Linotype" w:hAnsi="Palatino Linotype" w:cs="Palatino Linotype"/>
        </w:rPr>
        <w:t>To assess the temporal dimension, data will be fit to SARIMA models to assess seasonality</w:t>
      </w:r>
      <w:r>
        <w:rPr>
          <w:rFonts w:ascii="Palatino Linotype" w:eastAsia="Palatino Linotype" w:hAnsi="Palatino Linotype" w:cs="Palatino Linotype"/>
        </w:rPr>
        <w:t xml:space="preserve"> and metrics of predictability (constancy, periodicity) will be used. T</w:t>
      </w:r>
      <w:r w:rsidR="00E76F8D">
        <w:rPr>
          <w:rFonts w:ascii="Palatino Linotype" w:eastAsia="Palatino Linotype" w:hAnsi="Palatino Linotype" w:cs="Palatino Linotype"/>
        </w:rPr>
        <w:t>o assess the spatial dimension, we plan to use a Generalized Additive Model</w:t>
      </w:r>
      <w:r>
        <w:rPr>
          <w:rFonts w:ascii="Palatino Linotype" w:eastAsia="Palatino Linotype" w:hAnsi="Palatino Linotype" w:cs="Palatino Linotype"/>
        </w:rPr>
        <w:t xml:space="preserve"> (GAM)</w:t>
      </w:r>
      <w:r w:rsidR="00E76F8D">
        <w:rPr>
          <w:rFonts w:ascii="Palatino Linotype" w:eastAsia="Palatino Linotype" w:hAnsi="Palatino Linotype" w:cs="Palatino Linotype"/>
        </w:rPr>
        <w:t xml:space="preserve"> with a spline for latitude and </w:t>
      </w:r>
      <w:r>
        <w:rPr>
          <w:rFonts w:ascii="Palatino Linotype" w:eastAsia="Palatino Linotype" w:hAnsi="Palatino Linotype" w:cs="Palatino Linotype"/>
        </w:rPr>
        <w:t>longitude</w:t>
      </w:r>
      <w:r w:rsidR="00E76F8D">
        <w:rPr>
          <w:rFonts w:ascii="Palatino Linotype" w:eastAsia="Palatino Linotype" w:hAnsi="Palatino Linotype" w:cs="Palatino Linotype"/>
        </w:rPr>
        <w:t xml:space="preserve"> that determines how human mobility relates to human modification on a landscape. </w:t>
      </w:r>
      <w:r w:rsidR="00B03F92">
        <w:rPr>
          <w:rFonts w:ascii="Palatino Linotype" w:eastAsia="Palatino Linotype" w:hAnsi="Palatino Linotype" w:cs="Palatino Linotype"/>
        </w:rPr>
        <w:t>Landscape and predictability metrics can also be employed to assess heterogeneity of human use across the protected area.</w:t>
      </w:r>
    </w:p>
    <w:p w14:paraId="1DEF6C70" w14:textId="77777777" w:rsidR="00FD5D62" w:rsidRPr="00FD5D62" w:rsidRDefault="00FD5D62" w:rsidP="005F2F30">
      <w:pPr>
        <w:rPr>
          <w:rFonts w:ascii="Palatino Linotype" w:eastAsia="Palatino Linotype" w:hAnsi="Palatino Linotype" w:cs="Palatino Linotype"/>
        </w:rPr>
      </w:pPr>
    </w:p>
    <w:p w14:paraId="13A067C2" w14:textId="0F6356CF" w:rsidR="008345F7" w:rsidRDefault="008345F7" w:rsidP="00653C68">
      <w:pPr>
        <w:rPr>
          <w:rFonts w:ascii="Palatino Linotype" w:eastAsia="Palatino Linotype" w:hAnsi="Palatino Linotype" w:cs="Palatino Linotype"/>
          <w:b/>
        </w:rPr>
      </w:pPr>
      <w:r>
        <w:rPr>
          <w:rFonts w:ascii="Palatino Linotype" w:eastAsia="Palatino Linotype" w:hAnsi="Palatino Linotype" w:cs="Palatino Linotype"/>
          <w:b/>
        </w:rPr>
        <w:t>Anticipated results and impacts</w:t>
      </w:r>
      <w:r w:rsidR="000C1D7B">
        <w:rPr>
          <w:rFonts w:ascii="Palatino Linotype" w:eastAsia="Palatino Linotype" w:hAnsi="Palatino Linotype" w:cs="Palatino Linotype"/>
          <w:b/>
        </w:rPr>
        <w:t>:</w:t>
      </w:r>
    </w:p>
    <w:p w14:paraId="7B53D347" w14:textId="4EA419EB" w:rsidR="00772628" w:rsidRDefault="008C16A9" w:rsidP="00653C68">
      <w:pPr>
        <w:rPr>
          <w:rFonts w:ascii="Palatino Linotype" w:eastAsia="Palatino Linotype" w:hAnsi="Palatino Linotype" w:cs="Palatino Linotype"/>
          <w:bCs/>
        </w:rPr>
      </w:pPr>
      <w:r>
        <w:rPr>
          <w:rFonts w:ascii="Palatino Linotype" w:eastAsia="Palatino Linotype" w:hAnsi="Palatino Linotype" w:cs="Palatino Linotype"/>
          <w:bCs/>
        </w:rPr>
        <w:t>We anticipate that this study will provide a statewide picture of how humans use protected areas.</w:t>
      </w:r>
      <w:r w:rsidR="00152B83">
        <w:rPr>
          <w:rFonts w:ascii="Palatino Linotype" w:eastAsia="Palatino Linotype" w:hAnsi="Palatino Linotype" w:cs="Palatino Linotype"/>
          <w:bCs/>
        </w:rPr>
        <w:t xml:space="preserve"> We hope these protected area categories can be used in a range of studies, from better understanding equity implications of the California Protected areas, to characterizing human wildlife interactions within protected areas</w:t>
      </w:r>
      <w:r w:rsidR="007249A0">
        <w:rPr>
          <w:rFonts w:ascii="Palatino Linotype" w:eastAsia="Palatino Linotype" w:hAnsi="Palatino Linotype" w:cs="Palatino Linotype"/>
          <w:bCs/>
        </w:rPr>
        <w:t>, as well as help protected area managers determine strategies for managing human usage within their areas</w:t>
      </w:r>
      <w:r w:rsidR="00152B83">
        <w:rPr>
          <w:rFonts w:ascii="Palatino Linotype" w:eastAsia="Palatino Linotype" w:hAnsi="Palatino Linotype" w:cs="Palatino Linotype"/>
          <w:bCs/>
        </w:rPr>
        <w:t>.</w:t>
      </w:r>
      <w:r w:rsidR="007249A0">
        <w:rPr>
          <w:rFonts w:ascii="Palatino Linotype" w:eastAsia="Palatino Linotype" w:hAnsi="Palatino Linotype" w:cs="Palatino Linotype"/>
          <w:bCs/>
        </w:rPr>
        <w:t xml:space="preserve"> </w:t>
      </w:r>
    </w:p>
    <w:p w14:paraId="3E257A3A" w14:textId="77777777" w:rsidR="005911DC" w:rsidRDefault="005911DC" w:rsidP="00653C68">
      <w:pPr>
        <w:rPr>
          <w:rFonts w:ascii="Palatino Linotype" w:eastAsia="Palatino Linotype" w:hAnsi="Palatino Linotype" w:cs="Palatino Linotype"/>
          <w:bCs/>
        </w:rPr>
      </w:pPr>
    </w:p>
    <w:p w14:paraId="57BCB2A4" w14:textId="737D3B64" w:rsidR="001B2CBC" w:rsidRDefault="008345F7" w:rsidP="001B2CBC">
      <w:pPr>
        <w:rPr>
          <w:rFonts w:ascii="Palatino Linotype" w:eastAsia="Palatino Linotype" w:hAnsi="Palatino Linotype" w:cs="Palatino Linotype"/>
          <w:b/>
        </w:rPr>
      </w:pPr>
      <w:r>
        <w:rPr>
          <w:rFonts w:ascii="Palatino Linotype" w:eastAsia="Palatino Linotype" w:hAnsi="Palatino Linotype" w:cs="Palatino Linotype"/>
          <w:b/>
        </w:rPr>
        <w:t xml:space="preserve">References: </w:t>
      </w:r>
    </w:p>
    <w:p w14:paraId="370A3C4D" w14:textId="77777777" w:rsidR="00596073" w:rsidRPr="00596073" w:rsidRDefault="00B4615A" w:rsidP="00596073">
      <w:pPr>
        <w:pStyle w:val="Bibliography"/>
        <w:rPr>
          <w:rFonts w:ascii="Palatino Linotype" w:hAnsi="Palatino Linotype"/>
        </w:rPr>
      </w:pPr>
      <w:r>
        <w:rPr>
          <w:rFonts w:ascii="Palatino Linotype" w:eastAsia="Palatino Linotype" w:hAnsi="Palatino Linotype" w:cs="Palatino Linotype"/>
          <w:b/>
        </w:rPr>
        <w:fldChar w:fldCharType="begin"/>
      </w:r>
      <w:r w:rsidR="00596073">
        <w:rPr>
          <w:rFonts w:ascii="Palatino Linotype" w:eastAsia="Palatino Linotype" w:hAnsi="Palatino Linotype" w:cs="Palatino Linotype"/>
          <w:b/>
        </w:rPr>
        <w:instrText xml:space="preserve"> ADDIN ZOTERO_BIBL {"uncited":[],"omitted":[],"custom":[]} CSL_BIBLIOGRAPHY </w:instrText>
      </w:r>
      <w:r>
        <w:rPr>
          <w:rFonts w:ascii="Palatino Linotype" w:eastAsia="Palatino Linotype" w:hAnsi="Palatino Linotype" w:cs="Palatino Linotype"/>
          <w:b/>
        </w:rPr>
        <w:fldChar w:fldCharType="separate"/>
      </w:r>
      <w:r w:rsidR="00596073" w:rsidRPr="00596073">
        <w:rPr>
          <w:rFonts w:ascii="Palatino Linotype" w:hAnsi="Palatino Linotype"/>
        </w:rPr>
        <w:t xml:space="preserve">1. </w:t>
      </w:r>
      <w:r w:rsidR="00596073" w:rsidRPr="00596073">
        <w:rPr>
          <w:rFonts w:ascii="Palatino Linotype" w:hAnsi="Palatino Linotype"/>
        </w:rPr>
        <w:tab/>
        <w:t xml:space="preserve">J. Geldmann, L. N. Joppa, N. D. Burgess, Mapping Change in Human Pressure Globally on Land and within Protected Areas. </w:t>
      </w:r>
      <w:r w:rsidR="00596073" w:rsidRPr="00596073">
        <w:rPr>
          <w:rFonts w:ascii="Palatino Linotype" w:hAnsi="Palatino Linotype"/>
          <w:i/>
          <w:iCs/>
        </w:rPr>
        <w:t>Conserv. Biol.</w:t>
      </w:r>
      <w:r w:rsidR="00596073" w:rsidRPr="00596073">
        <w:rPr>
          <w:rFonts w:ascii="Palatino Linotype" w:hAnsi="Palatino Linotype"/>
        </w:rPr>
        <w:t xml:space="preserve"> </w:t>
      </w:r>
      <w:r w:rsidR="00596073" w:rsidRPr="00596073">
        <w:rPr>
          <w:rFonts w:ascii="Palatino Linotype" w:hAnsi="Palatino Linotype"/>
          <w:b/>
          <w:bCs/>
        </w:rPr>
        <w:t>28</w:t>
      </w:r>
      <w:r w:rsidR="00596073" w:rsidRPr="00596073">
        <w:rPr>
          <w:rFonts w:ascii="Palatino Linotype" w:hAnsi="Palatino Linotype"/>
        </w:rPr>
        <w:t>, 1604–1616 (2014).</w:t>
      </w:r>
    </w:p>
    <w:p w14:paraId="1EB825D9" w14:textId="77777777" w:rsidR="00596073" w:rsidRPr="00596073" w:rsidRDefault="00596073" w:rsidP="00596073">
      <w:pPr>
        <w:pStyle w:val="Bibliography"/>
        <w:rPr>
          <w:rFonts w:ascii="Palatino Linotype" w:hAnsi="Palatino Linotype"/>
        </w:rPr>
      </w:pPr>
      <w:r w:rsidRPr="00596073">
        <w:rPr>
          <w:rFonts w:ascii="Palatino Linotype" w:hAnsi="Palatino Linotype"/>
        </w:rPr>
        <w:t xml:space="preserve">2. </w:t>
      </w:r>
      <w:r w:rsidRPr="00596073">
        <w:rPr>
          <w:rFonts w:ascii="Palatino Linotype" w:hAnsi="Palatino Linotype"/>
        </w:rPr>
        <w:tab/>
        <w:t>U.S. Geological Survey (USGS) Gap Analysis Project (GAP), Protected Areas Database of the United States (PAD-US) 3.0 (ver. 2.0, March 2023). https://doi.org/10.5066/P9Q9LQ4B. Deposited 20 March 2023.</w:t>
      </w:r>
    </w:p>
    <w:p w14:paraId="1990C170" w14:textId="77777777" w:rsidR="00596073" w:rsidRPr="00596073" w:rsidRDefault="00596073" w:rsidP="00596073">
      <w:pPr>
        <w:pStyle w:val="Bibliography"/>
        <w:rPr>
          <w:rFonts w:ascii="Palatino Linotype" w:hAnsi="Palatino Linotype"/>
        </w:rPr>
      </w:pPr>
      <w:r w:rsidRPr="00596073">
        <w:rPr>
          <w:rFonts w:ascii="Palatino Linotype" w:hAnsi="Palatino Linotype"/>
        </w:rPr>
        <w:t xml:space="preserve">3. </w:t>
      </w:r>
      <w:r w:rsidRPr="00596073">
        <w:rPr>
          <w:rFonts w:ascii="Palatino Linotype" w:hAnsi="Palatino Linotype"/>
        </w:rPr>
        <w:tab/>
        <w:t>NPS, Visitation Numbers (U.S. National Park Service). (2023). Available at: https://www.nps.gov/aboutus/visitation-numbers.htm [Accessed 19 April 2024].</w:t>
      </w:r>
    </w:p>
    <w:p w14:paraId="6159A3BA" w14:textId="77777777" w:rsidR="00596073" w:rsidRPr="00596073" w:rsidRDefault="00596073" w:rsidP="00596073">
      <w:pPr>
        <w:pStyle w:val="Bibliography"/>
        <w:rPr>
          <w:rFonts w:ascii="Palatino Linotype" w:hAnsi="Palatino Linotype"/>
        </w:rPr>
      </w:pPr>
      <w:r w:rsidRPr="00596073">
        <w:rPr>
          <w:rFonts w:ascii="Palatino Linotype" w:hAnsi="Palatino Linotype"/>
        </w:rPr>
        <w:t xml:space="preserve">4. </w:t>
      </w:r>
      <w:r w:rsidRPr="00596073">
        <w:rPr>
          <w:rFonts w:ascii="Palatino Linotype" w:hAnsi="Palatino Linotype"/>
        </w:rPr>
        <w:tab/>
        <w:t xml:space="preserve">Z. A. Hamstead, </w:t>
      </w:r>
      <w:r w:rsidRPr="00596073">
        <w:rPr>
          <w:rFonts w:ascii="Palatino Linotype" w:hAnsi="Palatino Linotype"/>
          <w:i/>
          <w:iCs/>
        </w:rPr>
        <w:t>et al.</w:t>
      </w:r>
      <w:r w:rsidRPr="00596073">
        <w:rPr>
          <w:rFonts w:ascii="Palatino Linotype" w:hAnsi="Palatino Linotype"/>
        </w:rPr>
        <w:t xml:space="preserve">, Geolocated social media as a rapid indicator of park visitation and equitable park access. </w:t>
      </w:r>
      <w:r w:rsidRPr="00596073">
        <w:rPr>
          <w:rFonts w:ascii="Palatino Linotype" w:hAnsi="Palatino Linotype"/>
          <w:i/>
          <w:iCs/>
        </w:rPr>
        <w:t>Comput. Environ. Urban Syst.</w:t>
      </w:r>
      <w:r w:rsidRPr="00596073">
        <w:rPr>
          <w:rFonts w:ascii="Palatino Linotype" w:hAnsi="Palatino Linotype"/>
        </w:rPr>
        <w:t xml:space="preserve"> </w:t>
      </w:r>
      <w:r w:rsidRPr="00596073">
        <w:rPr>
          <w:rFonts w:ascii="Palatino Linotype" w:hAnsi="Palatino Linotype"/>
          <w:b/>
          <w:bCs/>
        </w:rPr>
        <w:t>72</w:t>
      </w:r>
      <w:r w:rsidRPr="00596073">
        <w:rPr>
          <w:rFonts w:ascii="Palatino Linotype" w:hAnsi="Palatino Linotype"/>
        </w:rPr>
        <w:t>, 38–50 (2018).</w:t>
      </w:r>
    </w:p>
    <w:p w14:paraId="46EAFFB2" w14:textId="77777777" w:rsidR="00596073" w:rsidRPr="00596073" w:rsidRDefault="00596073" w:rsidP="00596073">
      <w:pPr>
        <w:pStyle w:val="Bibliography"/>
        <w:rPr>
          <w:rFonts w:ascii="Palatino Linotype" w:hAnsi="Palatino Linotype"/>
        </w:rPr>
      </w:pPr>
      <w:r w:rsidRPr="00596073">
        <w:rPr>
          <w:rFonts w:ascii="Palatino Linotype" w:hAnsi="Palatino Linotype"/>
        </w:rPr>
        <w:t xml:space="preserve">5. </w:t>
      </w:r>
      <w:r w:rsidRPr="00596073">
        <w:rPr>
          <w:rFonts w:ascii="Palatino Linotype" w:hAnsi="Palatino Linotype"/>
        </w:rPr>
        <w:tab/>
        <w:t xml:space="preserve">J. Lu, </w:t>
      </w:r>
      <w:r w:rsidRPr="00596073">
        <w:rPr>
          <w:rFonts w:ascii="Palatino Linotype" w:hAnsi="Palatino Linotype"/>
          <w:i/>
          <w:iCs/>
        </w:rPr>
        <w:t>et al.</w:t>
      </w:r>
      <w:r w:rsidRPr="00596073">
        <w:rPr>
          <w:rFonts w:ascii="Palatino Linotype" w:hAnsi="Palatino Linotype"/>
        </w:rPr>
        <w:t xml:space="preserve">, Spatial, temporal, and social dynamics in visitation to U.S. national parks: A big data approach. </w:t>
      </w:r>
      <w:r w:rsidRPr="00596073">
        <w:rPr>
          <w:rFonts w:ascii="Palatino Linotype" w:hAnsi="Palatino Linotype"/>
          <w:i/>
          <w:iCs/>
        </w:rPr>
        <w:t>Tour. Manag. Perspect.</w:t>
      </w:r>
      <w:r w:rsidRPr="00596073">
        <w:rPr>
          <w:rFonts w:ascii="Palatino Linotype" w:hAnsi="Palatino Linotype"/>
        </w:rPr>
        <w:t xml:space="preserve"> </w:t>
      </w:r>
      <w:r w:rsidRPr="00596073">
        <w:rPr>
          <w:rFonts w:ascii="Palatino Linotype" w:hAnsi="Palatino Linotype"/>
          <w:b/>
          <w:bCs/>
        </w:rPr>
        <w:t>48</w:t>
      </w:r>
      <w:r w:rsidRPr="00596073">
        <w:rPr>
          <w:rFonts w:ascii="Palatino Linotype" w:hAnsi="Palatino Linotype"/>
        </w:rPr>
        <w:t>, 101143 (2023).</w:t>
      </w:r>
    </w:p>
    <w:p w14:paraId="4060236F" w14:textId="77777777" w:rsidR="00596073" w:rsidRPr="00596073" w:rsidRDefault="00596073" w:rsidP="00596073">
      <w:pPr>
        <w:pStyle w:val="Bibliography"/>
        <w:rPr>
          <w:rFonts w:ascii="Palatino Linotype" w:hAnsi="Palatino Linotype"/>
        </w:rPr>
      </w:pPr>
      <w:r w:rsidRPr="00596073">
        <w:rPr>
          <w:rFonts w:ascii="Palatino Linotype" w:hAnsi="Palatino Linotype"/>
        </w:rPr>
        <w:lastRenderedPageBreak/>
        <w:t xml:space="preserve">6. </w:t>
      </w:r>
      <w:r w:rsidRPr="00596073">
        <w:rPr>
          <w:rFonts w:ascii="Palatino Linotype" w:hAnsi="Palatino Linotype"/>
        </w:rPr>
        <w:tab/>
        <w:t xml:space="preserve">X. Xiao, K. J. Lee, L. R. Larson, Who visits U.S. national parks (and who doesn’t)? A national study of perceived constraints and vacation preferences across diverse populations. </w:t>
      </w:r>
      <w:r w:rsidRPr="00596073">
        <w:rPr>
          <w:rFonts w:ascii="Palatino Linotype" w:hAnsi="Palatino Linotype"/>
          <w:i/>
          <w:iCs/>
        </w:rPr>
        <w:t>J. Leis. Res.</w:t>
      </w:r>
      <w:r w:rsidRPr="00596073">
        <w:rPr>
          <w:rFonts w:ascii="Palatino Linotype" w:hAnsi="Palatino Linotype"/>
        </w:rPr>
        <w:t xml:space="preserve"> </w:t>
      </w:r>
      <w:r w:rsidRPr="00596073">
        <w:rPr>
          <w:rFonts w:ascii="Palatino Linotype" w:hAnsi="Palatino Linotype"/>
          <w:b/>
          <w:bCs/>
        </w:rPr>
        <w:t>53</w:t>
      </w:r>
      <w:r w:rsidRPr="00596073">
        <w:rPr>
          <w:rFonts w:ascii="Palatino Linotype" w:hAnsi="Palatino Linotype"/>
        </w:rPr>
        <w:t>, 404–425 (2022).</w:t>
      </w:r>
    </w:p>
    <w:p w14:paraId="529FD97F" w14:textId="77F0DF03" w:rsidR="008C4D2B" w:rsidRPr="008345F7" w:rsidRDefault="00B4615A" w:rsidP="00313B5D">
      <w:pPr>
        <w:rPr>
          <w:rFonts w:ascii="Palatino Linotype" w:eastAsia="Palatino Linotype" w:hAnsi="Palatino Linotype" w:cs="Palatino Linotype"/>
          <w:b/>
        </w:rPr>
      </w:pPr>
      <w:r>
        <w:rPr>
          <w:rFonts w:ascii="Palatino Linotype" w:eastAsia="Palatino Linotype" w:hAnsi="Palatino Linotype" w:cs="Palatino Linotype"/>
          <w:b/>
        </w:rPr>
        <w:fldChar w:fldCharType="end"/>
      </w:r>
    </w:p>
    <w:sectPr w:rsidR="008C4D2B" w:rsidRPr="00834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D1627"/>
    <w:multiLevelType w:val="hybridMultilevel"/>
    <w:tmpl w:val="054A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F22B71"/>
    <w:multiLevelType w:val="multilevel"/>
    <w:tmpl w:val="89B68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5D018E"/>
    <w:multiLevelType w:val="hybridMultilevel"/>
    <w:tmpl w:val="8E5C0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1679C"/>
    <w:multiLevelType w:val="multilevel"/>
    <w:tmpl w:val="3864E5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594753DA"/>
    <w:multiLevelType w:val="hybridMultilevel"/>
    <w:tmpl w:val="0354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205B41"/>
    <w:multiLevelType w:val="hybridMultilevel"/>
    <w:tmpl w:val="06BE0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402211">
    <w:abstractNumId w:val="3"/>
  </w:num>
  <w:num w:numId="2" w16cid:durableId="1837334343">
    <w:abstractNumId w:val="1"/>
  </w:num>
  <w:num w:numId="3" w16cid:durableId="909999188">
    <w:abstractNumId w:val="5"/>
  </w:num>
  <w:num w:numId="4" w16cid:durableId="348602566">
    <w:abstractNumId w:val="0"/>
  </w:num>
  <w:num w:numId="5" w16cid:durableId="2110925234">
    <w:abstractNumId w:val="2"/>
  </w:num>
  <w:num w:numId="6" w16cid:durableId="1684623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C8"/>
    <w:rsid w:val="000156F3"/>
    <w:rsid w:val="00051253"/>
    <w:rsid w:val="000514E9"/>
    <w:rsid w:val="00077471"/>
    <w:rsid w:val="0008245F"/>
    <w:rsid w:val="00084A50"/>
    <w:rsid w:val="00096A44"/>
    <w:rsid w:val="00097EB2"/>
    <w:rsid w:val="000A5C9C"/>
    <w:rsid w:val="000B59B1"/>
    <w:rsid w:val="000C1D7B"/>
    <w:rsid w:val="000D206C"/>
    <w:rsid w:val="001248C3"/>
    <w:rsid w:val="00147F0E"/>
    <w:rsid w:val="00152B83"/>
    <w:rsid w:val="00170FB3"/>
    <w:rsid w:val="00183E6A"/>
    <w:rsid w:val="00186CDA"/>
    <w:rsid w:val="00195F2F"/>
    <w:rsid w:val="001A2856"/>
    <w:rsid w:val="001A2B4C"/>
    <w:rsid w:val="001B2CBC"/>
    <w:rsid w:val="001C06FA"/>
    <w:rsid w:val="001C6D9E"/>
    <w:rsid w:val="001D08C8"/>
    <w:rsid w:val="001D2DBA"/>
    <w:rsid w:val="00202761"/>
    <w:rsid w:val="0024034E"/>
    <w:rsid w:val="0024632C"/>
    <w:rsid w:val="00251484"/>
    <w:rsid w:val="00260D9F"/>
    <w:rsid w:val="0028463B"/>
    <w:rsid w:val="002A153B"/>
    <w:rsid w:val="002E67C9"/>
    <w:rsid w:val="002F5BAC"/>
    <w:rsid w:val="00306215"/>
    <w:rsid w:val="00312287"/>
    <w:rsid w:val="00313B5D"/>
    <w:rsid w:val="00315A5C"/>
    <w:rsid w:val="00317F04"/>
    <w:rsid w:val="003222E0"/>
    <w:rsid w:val="0032610F"/>
    <w:rsid w:val="00353222"/>
    <w:rsid w:val="0036271B"/>
    <w:rsid w:val="00366CD2"/>
    <w:rsid w:val="00382BF0"/>
    <w:rsid w:val="00396A43"/>
    <w:rsid w:val="003A56B1"/>
    <w:rsid w:val="003A6C7C"/>
    <w:rsid w:val="003B07DB"/>
    <w:rsid w:val="003B081E"/>
    <w:rsid w:val="003B3963"/>
    <w:rsid w:val="003C4329"/>
    <w:rsid w:val="003C618B"/>
    <w:rsid w:val="003D77B1"/>
    <w:rsid w:val="003F6161"/>
    <w:rsid w:val="00404654"/>
    <w:rsid w:val="00480F76"/>
    <w:rsid w:val="004935AB"/>
    <w:rsid w:val="004B0793"/>
    <w:rsid w:val="004C2DCE"/>
    <w:rsid w:val="004C32FA"/>
    <w:rsid w:val="004D016A"/>
    <w:rsid w:val="00506730"/>
    <w:rsid w:val="00531A57"/>
    <w:rsid w:val="00541015"/>
    <w:rsid w:val="00542FF3"/>
    <w:rsid w:val="00560BD6"/>
    <w:rsid w:val="00572783"/>
    <w:rsid w:val="005911DC"/>
    <w:rsid w:val="00596073"/>
    <w:rsid w:val="005A2516"/>
    <w:rsid w:val="005A56FD"/>
    <w:rsid w:val="005B0634"/>
    <w:rsid w:val="005B316C"/>
    <w:rsid w:val="005C0C61"/>
    <w:rsid w:val="005D3D43"/>
    <w:rsid w:val="005F1C3B"/>
    <w:rsid w:val="005F27B8"/>
    <w:rsid w:val="005F2F30"/>
    <w:rsid w:val="005F4AE9"/>
    <w:rsid w:val="0060030E"/>
    <w:rsid w:val="00606D99"/>
    <w:rsid w:val="006134F2"/>
    <w:rsid w:val="006142C0"/>
    <w:rsid w:val="00633619"/>
    <w:rsid w:val="00642386"/>
    <w:rsid w:val="00653C68"/>
    <w:rsid w:val="00670FCC"/>
    <w:rsid w:val="00686981"/>
    <w:rsid w:val="0069596F"/>
    <w:rsid w:val="006B77D6"/>
    <w:rsid w:val="006C5E8F"/>
    <w:rsid w:val="006D21D3"/>
    <w:rsid w:val="006D7688"/>
    <w:rsid w:val="006E7163"/>
    <w:rsid w:val="006E76D4"/>
    <w:rsid w:val="00711A34"/>
    <w:rsid w:val="0071464C"/>
    <w:rsid w:val="00724639"/>
    <w:rsid w:val="007249A0"/>
    <w:rsid w:val="00731E51"/>
    <w:rsid w:val="00771BB4"/>
    <w:rsid w:val="00772628"/>
    <w:rsid w:val="00773874"/>
    <w:rsid w:val="007760B6"/>
    <w:rsid w:val="00782C5F"/>
    <w:rsid w:val="007948B5"/>
    <w:rsid w:val="007976E3"/>
    <w:rsid w:val="007A1165"/>
    <w:rsid w:val="007D4E87"/>
    <w:rsid w:val="007E7735"/>
    <w:rsid w:val="007F0741"/>
    <w:rsid w:val="007F7B2B"/>
    <w:rsid w:val="008273E8"/>
    <w:rsid w:val="008345F7"/>
    <w:rsid w:val="00863867"/>
    <w:rsid w:val="008700E9"/>
    <w:rsid w:val="00875289"/>
    <w:rsid w:val="008759E8"/>
    <w:rsid w:val="00890272"/>
    <w:rsid w:val="0089259B"/>
    <w:rsid w:val="00895202"/>
    <w:rsid w:val="008A50BD"/>
    <w:rsid w:val="008B5A5C"/>
    <w:rsid w:val="008C12C5"/>
    <w:rsid w:val="008C16A9"/>
    <w:rsid w:val="008C4D2B"/>
    <w:rsid w:val="008C6E8E"/>
    <w:rsid w:val="008D594E"/>
    <w:rsid w:val="008F0C23"/>
    <w:rsid w:val="00906398"/>
    <w:rsid w:val="00925079"/>
    <w:rsid w:val="00926800"/>
    <w:rsid w:val="00931457"/>
    <w:rsid w:val="009371E1"/>
    <w:rsid w:val="00941329"/>
    <w:rsid w:val="00941825"/>
    <w:rsid w:val="00941E65"/>
    <w:rsid w:val="0095629C"/>
    <w:rsid w:val="00975AC0"/>
    <w:rsid w:val="00980FED"/>
    <w:rsid w:val="009812A2"/>
    <w:rsid w:val="00983593"/>
    <w:rsid w:val="009A1878"/>
    <w:rsid w:val="009B08FA"/>
    <w:rsid w:val="009C18BB"/>
    <w:rsid w:val="009C4B09"/>
    <w:rsid w:val="009C4CE0"/>
    <w:rsid w:val="009E7642"/>
    <w:rsid w:val="00A164FE"/>
    <w:rsid w:val="00A4556C"/>
    <w:rsid w:val="00A51AF0"/>
    <w:rsid w:val="00A61D01"/>
    <w:rsid w:val="00A64B73"/>
    <w:rsid w:val="00A71AFE"/>
    <w:rsid w:val="00A84BEC"/>
    <w:rsid w:val="00A92559"/>
    <w:rsid w:val="00AA53BB"/>
    <w:rsid w:val="00AB04A6"/>
    <w:rsid w:val="00AB1055"/>
    <w:rsid w:val="00AB5531"/>
    <w:rsid w:val="00AB6E38"/>
    <w:rsid w:val="00AC4D9D"/>
    <w:rsid w:val="00AF7304"/>
    <w:rsid w:val="00B03F92"/>
    <w:rsid w:val="00B13CFF"/>
    <w:rsid w:val="00B1644D"/>
    <w:rsid w:val="00B20774"/>
    <w:rsid w:val="00B219FC"/>
    <w:rsid w:val="00B44340"/>
    <w:rsid w:val="00B4615A"/>
    <w:rsid w:val="00B56A98"/>
    <w:rsid w:val="00B76BC1"/>
    <w:rsid w:val="00B81A34"/>
    <w:rsid w:val="00B928FF"/>
    <w:rsid w:val="00B97422"/>
    <w:rsid w:val="00BA644F"/>
    <w:rsid w:val="00BB37DC"/>
    <w:rsid w:val="00BE0287"/>
    <w:rsid w:val="00BE4A72"/>
    <w:rsid w:val="00BE7896"/>
    <w:rsid w:val="00C06D5B"/>
    <w:rsid w:val="00C0743A"/>
    <w:rsid w:val="00C11B26"/>
    <w:rsid w:val="00C140A9"/>
    <w:rsid w:val="00C14DC0"/>
    <w:rsid w:val="00C21271"/>
    <w:rsid w:val="00C2708B"/>
    <w:rsid w:val="00C370A2"/>
    <w:rsid w:val="00C40397"/>
    <w:rsid w:val="00C67C8D"/>
    <w:rsid w:val="00C727FC"/>
    <w:rsid w:val="00C815CB"/>
    <w:rsid w:val="00C83DFA"/>
    <w:rsid w:val="00C9601B"/>
    <w:rsid w:val="00C961C7"/>
    <w:rsid w:val="00CC0807"/>
    <w:rsid w:val="00CD394F"/>
    <w:rsid w:val="00CF5C67"/>
    <w:rsid w:val="00D07FEF"/>
    <w:rsid w:val="00D20DFD"/>
    <w:rsid w:val="00D31F91"/>
    <w:rsid w:val="00D33C09"/>
    <w:rsid w:val="00D72C28"/>
    <w:rsid w:val="00DB2DAD"/>
    <w:rsid w:val="00DC15C1"/>
    <w:rsid w:val="00DC21F8"/>
    <w:rsid w:val="00DC3D70"/>
    <w:rsid w:val="00DC6352"/>
    <w:rsid w:val="00DD13CD"/>
    <w:rsid w:val="00DE1ABA"/>
    <w:rsid w:val="00E1550B"/>
    <w:rsid w:val="00E2112C"/>
    <w:rsid w:val="00E30FB6"/>
    <w:rsid w:val="00E61F91"/>
    <w:rsid w:val="00E76F8D"/>
    <w:rsid w:val="00EB5D46"/>
    <w:rsid w:val="00EC2568"/>
    <w:rsid w:val="00EF50E1"/>
    <w:rsid w:val="00F100A6"/>
    <w:rsid w:val="00F2110C"/>
    <w:rsid w:val="00F2341C"/>
    <w:rsid w:val="00F25184"/>
    <w:rsid w:val="00F3469E"/>
    <w:rsid w:val="00F372D5"/>
    <w:rsid w:val="00F653F9"/>
    <w:rsid w:val="00F73A7C"/>
    <w:rsid w:val="00F8159A"/>
    <w:rsid w:val="00F876B8"/>
    <w:rsid w:val="00FC3647"/>
    <w:rsid w:val="00FD1C3B"/>
    <w:rsid w:val="00FD5908"/>
    <w:rsid w:val="00FD5D62"/>
    <w:rsid w:val="00FE01F1"/>
    <w:rsid w:val="00FF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81A0"/>
  <w15:chartTrackingRefBased/>
  <w15:docId w15:val="{0E1C7B37-B5B4-4D35-8256-ADE3D05B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F7"/>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1D0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8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8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8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8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8C8"/>
    <w:rPr>
      <w:rFonts w:eastAsiaTheme="majorEastAsia" w:cstheme="majorBidi"/>
      <w:color w:val="272727" w:themeColor="text1" w:themeTint="D8"/>
    </w:rPr>
  </w:style>
  <w:style w:type="paragraph" w:styleId="Title">
    <w:name w:val="Title"/>
    <w:basedOn w:val="Normal"/>
    <w:next w:val="Normal"/>
    <w:link w:val="TitleChar"/>
    <w:uiPriority w:val="10"/>
    <w:qFormat/>
    <w:rsid w:val="001D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8C8"/>
    <w:pPr>
      <w:spacing w:before="160"/>
      <w:jc w:val="center"/>
    </w:pPr>
    <w:rPr>
      <w:i/>
      <w:iCs/>
      <w:color w:val="404040" w:themeColor="text1" w:themeTint="BF"/>
    </w:rPr>
  </w:style>
  <w:style w:type="character" w:customStyle="1" w:styleId="QuoteChar">
    <w:name w:val="Quote Char"/>
    <w:basedOn w:val="DefaultParagraphFont"/>
    <w:link w:val="Quote"/>
    <w:uiPriority w:val="29"/>
    <w:rsid w:val="001D08C8"/>
    <w:rPr>
      <w:i/>
      <w:iCs/>
      <w:color w:val="404040" w:themeColor="text1" w:themeTint="BF"/>
    </w:rPr>
  </w:style>
  <w:style w:type="paragraph" w:styleId="ListParagraph">
    <w:name w:val="List Paragraph"/>
    <w:basedOn w:val="Normal"/>
    <w:uiPriority w:val="34"/>
    <w:qFormat/>
    <w:rsid w:val="001D08C8"/>
    <w:pPr>
      <w:ind w:left="720"/>
      <w:contextualSpacing/>
    </w:pPr>
  </w:style>
  <w:style w:type="character" w:styleId="IntenseEmphasis">
    <w:name w:val="Intense Emphasis"/>
    <w:basedOn w:val="DefaultParagraphFont"/>
    <w:uiPriority w:val="21"/>
    <w:qFormat/>
    <w:rsid w:val="001D08C8"/>
    <w:rPr>
      <w:i/>
      <w:iCs/>
      <w:color w:val="0F4761" w:themeColor="accent1" w:themeShade="BF"/>
    </w:rPr>
  </w:style>
  <w:style w:type="paragraph" w:styleId="IntenseQuote">
    <w:name w:val="Intense Quote"/>
    <w:basedOn w:val="Normal"/>
    <w:next w:val="Normal"/>
    <w:link w:val="IntenseQuoteChar"/>
    <w:uiPriority w:val="30"/>
    <w:qFormat/>
    <w:rsid w:val="001D0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8C8"/>
    <w:rPr>
      <w:i/>
      <w:iCs/>
      <w:color w:val="0F4761" w:themeColor="accent1" w:themeShade="BF"/>
    </w:rPr>
  </w:style>
  <w:style w:type="character" w:styleId="IntenseReference">
    <w:name w:val="Intense Reference"/>
    <w:basedOn w:val="DefaultParagraphFont"/>
    <w:uiPriority w:val="32"/>
    <w:qFormat/>
    <w:rsid w:val="001D08C8"/>
    <w:rPr>
      <w:b/>
      <w:bCs/>
      <w:smallCaps/>
      <w:color w:val="0F4761" w:themeColor="accent1" w:themeShade="BF"/>
      <w:spacing w:val="5"/>
    </w:rPr>
  </w:style>
  <w:style w:type="character" w:styleId="Hyperlink">
    <w:name w:val="Hyperlink"/>
    <w:basedOn w:val="DefaultParagraphFont"/>
    <w:uiPriority w:val="99"/>
    <w:semiHidden/>
    <w:unhideWhenUsed/>
    <w:rsid w:val="008345F7"/>
    <w:rPr>
      <w:color w:val="467886" w:themeColor="hyperlink"/>
      <w:u w:val="single"/>
    </w:rPr>
  </w:style>
  <w:style w:type="paragraph" w:styleId="Bibliography">
    <w:name w:val="Bibliography"/>
    <w:basedOn w:val="Normal"/>
    <w:next w:val="Normal"/>
    <w:uiPriority w:val="37"/>
    <w:unhideWhenUsed/>
    <w:rsid w:val="008C4D2B"/>
    <w:pPr>
      <w:tabs>
        <w:tab w:val="left" w:pos="384"/>
      </w:tabs>
      <w:spacing w:after="240" w:line="240" w:lineRule="auto"/>
      <w:ind w:left="384" w:hanging="384"/>
    </w:pPr>
  </w:style>
  <w:style w:type="paragraph" w:styleId="Revision">
    <w:name w:val="Revision"/>
    <w:hidden/>
    <w:uiPriority w:val="99"/>
    <w:semiHidden/>
    <w:rsid w:val="003C618B"/>
    <w:pPr>
      <w:spacing w:after="0" w:line="240" w:lineRule="auto"/>
    </w:pPr>
    <w:rPr>
      <w:rFonts w:ascii="Arial" w:eastAsia="Arial" w:hAnsi="Arial" w:cs="Arial"/>
      <w:kern w:val="0"/>
      <w:lang w:val="en"/>
      <w14:ligatures w14:val="none"/>
    </w:rPr>
  </w:style>
  <w:style w:type="character" w:styleId="CommentReference">
    <w:name w:val="annotation reference"/>
    <w:basedOn w:val="DefaultParagraphFont"/>
    <w:uiPriority w:val="99"/>
    <w:semiHidden/>
    <w:unhideWhenUsed/>
    <w:rsid w:val="003C618B"/>
    <w:rPr>
      <w:sz w:val="16"/>
      <w:szCs w:val="16"/>
    </w:rPr>
  </w:style>
  <w:style w:type="paragraph" w:styleId="CommentText">
    <w:name w:val="annotation text"/>
    <w:basedOn w:val="Normal"/>
    <w:link w:val="CommentTextChar"/>
    <w:uiPriority w:val="99"/>
    <w:unhideWhenUsed/>
    <w:rsid w:val="003C618B"/>
    <w:pPr>
      <w:spacing w:line="240" w:lineRule="auto"/>
    </w:pPr>
    <w:rPr>
      <w:sz w:val="20"/>
      <w:szCs w:val="20"/>
    </w:rPr>
  </w:style>
  <w:style w:type="character" w:customStyle="1" w:styleId="CommentTextChar">
    <w:name w:val="Comment Text Char"/>
    <w:basedOn w:val="DefaultParagraphFont"/>
    <w:link w:val="CommentText"/>
    <w:uiPriority w:val="99"/>
    <w:rsid w:val="003C618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3C618B"/>
    <w:rPr>
      <w:b/>
      <w:bCs/>
    </w:rPr>
  </w:style>
  <w:style w:type="character" w:customStyle="1" w:styleId="CommentSubjectChar">
    <w:name w:val="Comment Subject Char"/>
    <w:basedOn w:val="CommentTextChar"/>
    <w:link w:val="CommentSubject"/>
    <w:uiPriority w:val="99"/>
    <w:semiHidden/>
    <w:rsid w:val="003C618B"/>
    <w:rPr>
      <w:rFonts w:ascii="Arial" w:eastAsia="Arial" w:hAnsi="Arial" w:cs="Arial"/>
      <w:b/>
      <w:bCs/>
      <w:kern w:val="0"/>
      <w:sz w:val="20"/>
      <w:szCs w:val="20"/>
      <w:lang w:val="en"/>
      <w14:ligatures w14:val="none"/>
    </w:rPr>
  </w:style>
  <w:style w:type="paragraph" w:styleId="NormalWeb">
    <w:name w:val="Normal (Web)"/>
    <w:basedOn w:val="Normal"/>
    <w:uiPriority w:val="99"/>
    <w:semiHidden/>
    <w:unhideWhenUsed/>
    <w:rsid w:val="00AA53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05010">
      <w:bodyDiv w:val="1"/>
      <w:marLeft w:val="0"/>
      <w:marRight w:val="0"/>
      <w:marTop w:val="0"/>
      <w:marBottom w:val="0"/>
      <w:divBdr>
        <w:top w:val="none" w:sz="0" w:space="0" w:color="auto"/>
        <w:left w:val="none" w:sz="0" w:space="0" w:color="auto"/>
        <w:bottom w:val="none" w:sz="0" w:space="0" w:color="auto"/>
        <w:right w:val="none" w:sz="0" w:space="0" w:color="auto"/>
      </w:divBdr>
    </w:div>
    <w:div w:id="649673814">
      <w:bodyDiv w:val="1"/>
      <w:marLeft w:val="0"/>
      <w:marRight w:val="0"/>
      <w:marTop w:val="0"/>
      <w:marBottom w:val="0"/>
      <w:divBdr>
        <w:top w:val="none" w:sz="0" w:space="0" w:color="auto"/>
        <w:left w:val="none" w:sz="0" w:space="0" w:color="auto"/>
        <w:bottom w:val="none" w:sz="0" w:space="0" w:color="auto"/>
        <w:right w:val="none" w:sz="0" w:space="0" w:color="auto"/>
      </w:divBdr>
    </w:div>
    <w:div w:id="733548045">
      <w:bodyDiv w:val="1"/>
      <w:marLeft w:val="0"/>
      <w:marRight w:val="0"/>
      <w:marTop w:val="0"/>
      <w:marBottom w:val="0"/>
      <w:divBdr>
        <w:top w:val="none" w:sz="0" w:space="0" w:color="auto"/>
        <w:left w:val="none" w:sz="0" w:space="0" w:color="auto"/>
        <w:bottom w:val="none" w:sz="0" w:space="0" w:color="auto"/>
        <w:right w:val="none" w:sz="0" w:space="0" w:color="auto"/>
      </w:divBdr>
    </w:div>
    <w:div w:id="79575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1724</TotalTime>
  <Pages>3</Pages>
  <Words>5504</Words>
  <Characters>31378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Caughman</dc:creator>
  <cp:keywords/>
  <dc:description/>
  <cp:lastModifiedBy>Alicia</cp:lastModifiedBy>
  <cp:revision>152</cp:revision>
  <dcterms:created xsi:type="dcterms:W3CDTF">2024-04-08T16:25:00Z</dcterms:created>
  <dcterms:modified xsi:type="dcterms:W3CDTF">2024-05-10T21:10:00Z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zotero-version="7.0.0-beta.77+adaa61f2c"&gt;&lt;session id="BPCelfWO"/&gt;&lt;style id="http://www.zotero.org/styles/pnas"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