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773E73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773E73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773E73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 xml:space="preserve">바이트기반의 </w:t>
      </w:r>
      <w:proofErr w:type="spellStart"/>
      <w:r w:rsidRPr="00790B02">
        <w:rPr>
          <w:rFonts w:hint="eastAsia"/>
          <w:b/>
          <w:color w:val="000000" w:themeColor="text1"/>
          <w:sz w:val="24"/>
          <w:u w:val="single"/>
        </w:rPr>
        <w:t>보조스트림</w:t>
      </w:r>
      <w:proofErr w:type="spellEnd"/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90B02">
        <w:rPr>
          <w:rFonts w:hint="eastAsia"/>
          <w:color w:val="000000" w:themeColor="text1"/>
          <w:sz w:val="22"/>
        </w:rPr>
        <w:t>BufferedOutputStream</w:t>
      </w:r>
      <w:proofErr w:type="spellEnd"/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 w:rsidR="00790B02"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790B02">
        <w:rPr>
          <w:rFonts w:hint="eastAsia"/>
          <w:color w:val="000000" w:themeColor="text1"/>
          <w:sz w:val="22"/>
        </w:rPr>
        <w:t>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in, </w:t>
      </w:r>
      <w:proofErr w:type="spellStart"/>
      <w:r w:rsidR="00790B02">
        <w:rPr>
          <w:rFonts w:hint="eastAsia"/>
          <w:color w:val="000000" w:themeColor="text1"/>
          <w:sz w:val="22"/>
        </w:rPr>
        <w:t>int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size) 입력소스를 반드시 지정해 주어야 한다. </w:t>
      </w:r>
      <w:proofErr w:type="spellStart"/>
      <w:r w:rsidR="009C6E7D">
        <w:rPr>
          <w:rFonts w:hint="eastAsia"/>
          <w:color w:val="000000" w:themeColor="text1"/>
          <w:sz w:val="22"/>
        </w:rPr>
        <w:t>int</w:t>
      </w:r>
      <w:proofErr w:type="spellEnd"/>
      <w:r w:rsidR="009C6E7D">
        <w:rPr>
          <w:rFonts w:hint="eastAsia"/>
          <w:color w:val="000000" w:themeColor="text1"/>
          <w:sz w:val="22"/>
        </w:rPr>
        <w:t xml:space="preserve">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  <w:r>
        <w:rPr>
          <w:rFonts w:hint="eastAsia"/>
          <w:color w:val="000000" w:themeColor="text1"/>
          <w:sz w:val="22"/>
        </w:rPr>
        <w:t xml:space="preserve"> 을 사용한 파일은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</w:t>
      </w:r>
      <w:proofErr w:type="spellStart"/>
      <w:r w:rsidR="006E28EB">
        <w:rPr>
          <w:rFonts w:hint="eastAsia"/>
          <w:color w:val="000000" w:themeColor="text1"/>
          <w:sz w:val="22"/>
        </w:rPr>
        <w:t>여러개의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</w:t>
      </w:r>
      <w:proofErr w:type="spellStart"/>
      <w:r w:rsidR="006E28EB">
        <w:rPr>
          <w:rFonts w:hint="eastAsia"/>
          <w:color w:val="000000" w:themeColor="text1"/>
          <w:sz w:val="22"/>
        </w:rPr>
        <w:t>자료형을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FileReader</w:t>
      </w:r>
      <w:proofErr w:type="spellEnd"/>
      <w:r>
        <w:rPr>
          <w:rFonts w:hint="eastAsia"/>
          <w:color w:val="000000" w:themeColor="text1"/>
          <w:sz w:val="22"/>
        </w:rPr>
        <w:t>/</w:t>
      </w:r>
      <w:proofErr w:type="spellStart"/>
      <w:r>
        <w:rPr>
          <w:rFonts w:hint="eastAsia"/>
          <w:color w:val="000000" w:themeColor="text1"/>
          <w:sz w:val="22"/>
        </w:rPr>
        <w:t>FileWriter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</w:t>
      </w:r>
      <w:proofErr w:type="spellStart"/>
      <w:r>
        <w:rPr>
          <w:rFonts w:hint="eastAsia"/>
          <w:color w:val="000000" w:themeColor="text1"/>
          <w:sz w:val="22"/>
        </w:rPr>
        <w:t>인코딩을</w:t>
      </w:r>
      <w:proofErr w:type="spellEnd"/>
      <w:r>
        <w:rPr>
          <w:rFonts w:hint="eastAsia"/>
          <w:color w:val="000000" w:themeColor="text1"/>
          <w:sz w:val="22"/>
        </w:rPr>
        <w:t xml:space="preserve">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PipedReader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PipedWriter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 xml:space="preserve">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StringWriter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StringBuffer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getBuffer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</w:t>
      </w:r>
      <w:proofErr w:type="spellStart"/>
      <w:r w:rsidR="009D7090">
        <w:rPr>
          <w:rFonts w:hint="eastAsia"/>
          <w:color w:val="000000" w:themeColor="text1"/>
          <w:sz w:val="22"/>
        </w:rPr>
        <w:t>메서드를</w:t>
      </w:r>
      <w:proofErr w:type="spellEnd"/>
      <w:r w:rsidR="009D7090">
        <w:rPr>
          <w:rFonts w:hint="eastAsia"/>
          <w:color w:val="000000" w:themeColor="text1"/>
          <w:sz w:val="22"/>
        </w:rPr>
        <w:t xml:space="preserve">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</w:t>
      </w:r>
      <w:proofErr w:type="spellStart"/>
      <w:r>
        <w:rPr>
          <w:rFonts w:hint="eastAsia"/>
          <w:color w:val="000000" w:themeColor="text1"/>
          <w:sz w:val="22"/>
        </w:rPr>
        <w:t>반환받을</w:t>
      </w:r>
      <w:proofErr w:type="spellEnd"/>
      <w:r>
        <w:rPr>
          <w:rFonts w:hint="eastAsia"/>
          <w:color w:val="000000" w:themeColor="text1"/>
          <w:sz w:val="22"/>
        </w:rPr>
        <w:t xml:space="preserve">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Reader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Writer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</w:t>
      </w:r>
    </w:p>
    <w:p w:rsidR="009C6E7D" w:rsidRDefault="00960748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행단위로</w:t>
      </w:r>
      <w:proofErr w:type="spellEnd"/>
      <w:r>
        <w:rPr>
          <w:rFonts w:hint="eastAsia"/>
          <w:color w:val="000000" w:themeColor="text1"/>
          <w:sz w:val="22"/>
        </w:rPr>
        <w:t xml:space="preserve"> 읽어 올 수 있으며 </w:t>
      </w:r>
      <w:proofErr w:type="spellStart"/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proofErr w:type="spellEnd"/>
      <w:r>
        <w:rPr>
          <w:rFonts w:hint="eastAsia"/>
          <w:color w:val="000000" w:themeColor="text1"/>
          <w:sz w:val="22"/>
        </w:rPr>
        <w:t xml:space="preserve">() 이라는 </w:t>
      </w:r>
      <w:proofErr w:type="spellStart"/>
      <w:r>
        <w:rPr>
          <w:rFonts w:hint="eastAsia"/>
          <w:color w:val="000000" w:themeColor="text1"/>
          <w:sz w:val="22"/>
        </w:rPr>
        <w:t>줄바꿈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가지고 있다. </w:t>
      </w:r>
    </w:p>
    <w:p w:rsidR="00DA6C4D" w:rsidRDefault="00DA6C4D" w:rsidP="00DA6C4D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InputStream</w:t>
      </w:r>
      <w:r>
        <w:rPr>
          <w:rFonts w:hint="eastAsia"/>
          <w:color w:val="000000" w:themeColor="text1"/>
          <w:sz w:val="22"/>
        </w:rPr>
        <w:t>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Out</w:t>
      </w:r>
      <w:r>
        <w:rPr>
          <w:rFonts w:hint="eastAsia"/>
          <w:color w:val="000000" w:themeColor="text1"/>
          <w:sz w:val="22"/>
        </w:rPr>
        <w:t>putStreamWriter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A6C4D" w:rsidRDefault="00DA6C4D" w:rsidP="00DA6C4D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자니트기반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스트림을</w:t>
      </w:r>
      <w:proofErr w:type="spellEnd"/>
      <w:r>
        <w:rPr>
          <w:rFonts w:hint="eastAsia"/>
          <w:color w:val="000000" w:themeColor="text1"/>
          <w:sz w:val="22"/>
        </w:rPr>
        <w:t xml:space="preserve"> 문자기반 </w:t>
      </w:r>
      <w:proofErr w:type="spellStart"/>
      <w:r>
        <w:rPr>
          <w:rFonts w:hint="eastAsia"/>
          <w:color w:val="000000" w:themeColor="text1"/>
          <w:sz w:val="22"/>
        </w:rPr>
        <w:t>스트림으로</w:t>
      </w:r>
      <w:proofErr w:type="spellEnd"/>
      <w:r>
        <w:rPr>
          <w:rFonts w:hint="eastAsia"/>
          <w:color w:val="000000" w:themeColor="text1"/>
          <w:sz w:val="22"/>
        </w:rPr>
        <w:t xml:space="preserve">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 xml:space="preserve">System.in / </w:t>
      </w:r>
      <w:proofErr w:type="spellStart"/>
      <w:r w:rsidRPr="007025DD">
        <w:rPr>
          <w:rFonts w:hint="eastAsia"/>
          <w:color w:val="000000" w:themeColor="text1"/>
          <w:sz w:val="22"/>
        </w:rPr>
        <w:t>System.out</w:t>
      </w:r>
      <w:proofErr w:type="spellEnd"/>
      <w:r w:rsidRPr="007025DD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025DD">
        <w:rPr>
          <w:rFonts w:hint="eastAsia"/>
          <w:color w:val="000000" w:themeColor="text1"/>
          <w:sz w:val="22"/>
        </w:rPr>
        <w:t>System.err</w:t>
      </w:r>
      <w:proofErr w:type="spellEnd"/>
    </w:p>
    <w:p w:rsidR="009D4293" w:rsidRDefault="009D4293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C2713B">
        <w:rPr>
          <w:rFonts w:hint="eastAsia"/>
          <w:color w:val="000000" w:themeColor="text1"/>
          <w:sz w:val="22"/>
        </w:rPr>
        <w:t>setOut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setErr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setIn</w:t>
      </w:r>
      <w:proofErr w:type="spellEnd"/>
      <w:r w:rsidR="00C2713B">
        <w:rPr>
          <w:rFonts w:hint="eastAsia"/>
          <w:color w:val="000000" w:themeColor="text1"/>
          <w:sz w:val="22"/>
        </w:rPr>
        <w:t>()</w:t>
      </w:r>
    </w:p>
    <w:p w:rsidR="009D4293" w:rsidRDefault="009D4293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경로에 대한 File의 멤버변수 중 </w:t>
      </w:r>
      <w:proofErr w:type="spellStart"/>
      <w:r>
        <w:rPr>
          <w:rFonts w:hint="eastAsia"/>
          <w:color w:val="000000" w:themeColor="text1"/>
          <w:sz w:val="22"/>
        </w:rPr>
        <w:t>구분자는</w:t>
      </w:r>
      <w:proofErr w:type="spellEnd"/>
      <w:r>
        <w:rPr>
          <w:rFonts w:hint="eastAsia"/>
          <w:color w:val="000000" w:themeColor="text1"/>
          <w:sz w:val="22"/>
        </w:rPr>
        <w:t xml:space="preserve">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rFonts w:hint="eastAsia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구분자</w:t>
            </w:r>
            <w:proofErr w:type="spellEnd"/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</w:t>
            </w:r>
            <w:r>
              <w:rPr>
                <w:rFonts w:hint="eastAsia"/>
                <w:color w:val="000000" w:themeColor="text1"/>
                <w:sz w:val="22"/>
              </w:rPr>
              <w:t xml:space="preserve">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erparator</w:t>
            </w:r>
            <w:r>
              <w:rPr>
                <w:rFonts w:hint="eastAsia"/>
                <w:color w:val="000000" w:themeColor="text1"/>
                <w:sz w:val="22"/>
              </w:rPr>
              <w:t>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2F5962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rFonts w:hint="eastAsia"/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</w:t>
      </w:r>
      <w:proofErr w:type="spellStart"/>
      <w:r>
        <w:rPr>
          <w:rFonts w:hint="eastAsia"/>
          <w:color w:val="000000" w:themeColor="text1"/>
          <w:sz w:val="22"/>
        </w:rPr>
        <w:t>인스턴스를</w:t>
      </w:r>
      <w:proofErr w:type="spellEnd"/>
      <w:r>
        <w:rPr>
          <w:rFonts w:hint="eastAsia"/>
          <w:color w:val="000000" w:themeColor="text1"/>
          <w:sz w:val="22"/>
        </w:rPr>
        <w:t xml:space="preserve"> 생성했다고 해서 파일이나 </w:t>
      </w:r>
      <w:proofErr w:type="spellStart"/>
      <w:r>
        <w:rPr>
          <w:rFonts w:hint="eastAsia"/>
          <w:color w:val="000000" w:themeColor="text1"/>
          <w:sz w:val="22"/>
        </w:rPr>
        <w:t>디렉토리가</w:t>
      </w:r>
      <w:proofErr w:type="spellEnd"/>
      <w:r>
        <w:rPr>
          <w:rFonts w:hint="eastAsia"/>
          <w:color w:val="000000" w:themeColor="text1"/>
          <w:sz w:val="22"/>
        </w:rPr>
        <w:t xml:space="preserve">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 xml:space="preserve">생성을 위해서는 </w:t>
      </w:r>
      <w:proofErr w:type="spellStart"/>
      <w:r>
        <w:rPr>
          <w:rFonts w:hint="eastAsia"/>
          <w:color w:val="000000" w:themeColor="text1"/>
          <w:sz w:val="22"/>
        </w:rPr>
        <w:t>createNewFile</w:t>
      </w:r>
      <w:proofErr w:type="spellEnd"/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8615A">
        <w:rPr>
          <w:rFonts w:hint="eastAsia"/>
          <w:color w:val="000000" w:themeColor="text1"/>
          <w:sz w:val="22"/>
        </w:rPr>
        <w:t>클라스</w:t>
      </w:r>
      <w:r>
        <w:rPr>
          <w:rFonts w:hint="eastAsia"/>
          <w:color w:val="000000" w:themeColor="text1"/>
          <w:sz w:val="22"/>
        </w:rPr>
        <w:t>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rFonts w:hint="eastAsia"/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  <w:bookmarkStart w:id="1" w:name="_GoBack"/>
      <w:bookmarkEnd w:id="1"/>
    </w:p>
    <w:p w:rsidR="00332805" w:rsidRP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발생</w:t>
      </w:r>
    </w:p>
    <w:p w:rsid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Libraris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팝업창에서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DB 경로에서 ojdbc6.jar를 선택 </w:t>
      </w:r>
    </w:p>
    <w:p w:rsidR="00332805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</w:t>
      </w:r>
      <w:r w:rsidRPr="008A79C6">
        <w:rPr>
          <w:rFonts w:hint="eastAsia"/>
          <w:color w:val="000000" w:themeColor="text1"/>
          <w:sz w:val="22"/>
        </w:rPr>
        <w:t>ojdbc6.jar</w:t>
      </w:r>
      <w:r w:rsidRPr="008A79C6">
        <w:rPr>
          <w:rFonts w:hint="eastAsia"/>
          <w:color w:val="000000" w:themeColor="text1"/>
          <w:sz w:val="22"/>
        </w:rPr>
        <w:t>)</w:t>
      </w:r>
    </w:p>
    <w:p w:rsid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P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B4" w:rsidRDefault="00136EB4" w:rsidP="006619DB">
      <w:pPr>
        <w:spacing w:after="0" w:line="240" w:lineRule="auto"/>
      </w:pPr>
      <w:r>
        <w:separator/>
      </w:r>
    </w:p>
  </w:endnote>
  <w:endnote w:type="continuationSeparator" w:id="0">
    <w:p w:rsidR="00136EB4" w:rsidRDefault="00136EB4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B4" w:rsidRDefault="00136EB4" w:rsidP="006619DB">
      <w:pPr>
        <w:spacing w:after="0" w:line="240" w:lineRule="auto"/>
      </w:pPr>
      <w:r>
        <w:separator/>
      </w:r>
    </w:p>
  </w:footnote>
  <w:footnote w:type="continuationSeparator" w:id="0">
    <w:p w:rsidR="00136EB4" w:rsidRDefault="00136EB4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5A9A"/>
    <w:rsid w:val="00341581"/>
    <w:rsid w:val="00341F3F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765"/>
    <w:rsid w:val="00815D55"/>
    <w:rsid w:val="0081682C"/>
    <w:rsid w:val="00817A2F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AC0"/>
    <w:rsid w:val="00A766C5"/>
    <w:rsid w:val="00A7791D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4D1A3-A831-4E4F-9A6E-4EA3FE73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7949</TotalTime>
  <Pages>53</Pages>
  <Words>7079</Words>
  <Characters>40356</Characters>
  <Application>Microsoft Office Word</Application>
  <DocSecurity>0</DocSecurity>
  <Lines>336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1129</cp:revision>
  <dcterms:created xsi:type="dcterms:W3CDTF">2016-08-19T02:13:00Z</dcterms:created>
  <dcterms:modified xsi:type="dcterms:W3CDTF">2016-11-21T02:51:00Z</dcterms:modified>
</cp:coreProperties>
</file>