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3194"/>
        <w:tblLayout w:type="fixed"/>
        <w:tblLook w:firstRow="1" w:lastRow="1" w:firstColumn="0" w:lastColumn="0" w:noHBand="0" w:noVBand="0" w:val="0020"/>
      </w:tblPr>
      <w:tblGrid>
        <w:gridCol w:w="24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Model 1</w:t>
            </w:r>
          </w:p>
        </w:tc>
        <w:tc>
          <w:tcPr/>
          <w:p>
            <w:pPr>
              <w:pStyle w:val="Compact"/>
            </w:pPr>
            <w:r>
              <w:t xml:space="preserve">Model 2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男性（vs.</w:t>
            </w:r>
            <w:r>
              <w:t xml:space="preserve"> </w:t>
            </w:r>
            <w:r>
              <w:rPr>
                <w:rFonts w:hint="eastAsia"/>
              </w:rPr>
              <w:t xml:space="preserve">女性）</w:t>
            </w:r>
            <w:r>
              <w:t xml:space="preserve"> | 0.416*** | 0.34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(0.018)</w:t>
            </w:r>
          </w:p>
        </w:tc>
        <w:tc>
          <w:tcPr/>
          <w:p>
            <w:pPr>
              <w:pStyle w:val="Compact"/>
            </w:pPr>
            <w:r>
              <w:t xml:space="preserve">(0.019)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高校（vs.</w:t>
            </w:r>
            <w:r>
              <w:t xml:space="preserve"> </w:t>
            </w:r>
            <w:r>
              <w:rPr>
                <w:rFonts w:hint="eastAsia"/>
              </w:rPr>
              <w:t xml:space="preserve">中学）</w:t>
            </w:r>
            <w:r>
              <w:t xml:space="preserve"> | 0.116*** | 0.04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(0.034)</w:t>
            </w:r>
          </w:p>
        </w:tc>
        <w:tc>
          <w:tcPr/>
          <w:p>
            <w:pPr>
              <w:pStyle w:val="Compact"/>
            </w:pPr>
            <w:r>
              <w:t xml:space="preserve">(0.032)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短大高専（vs.</w:t>
            </w:r>
            <w:r>
              <w:t xml:space="preserve"> </w:t>
            </w:r>
            <w:r>
              <w:rPr>
                <w:rFonts w:hint="eastAsia"/>
              </w:rPr>
              <w:t xml:space="preserve">中学）</w:t>
            </w:r>
            <w:r>
              <w:t xml:space="preserve"> | 0.221*** | 0.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(0.037)</w:t>
            </w:r>
          </w:p>
        </w:tc>
        <w:tc>
          <w:tcPr/>
          <w:p>
            <w:pPr>
              <w:pStyle w:val="Compact"/>
            </w:pPr>
            <w:r>
              <w:t xml:space="preserve">(0.035)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大学大学院（vs.</w:t>
            </w:r>
            <w:r>
              <w:t xml:space="preserve"> </w:t>
            </w:r>
            <w:r>
              <w:rPr>
                <w:rFonts w:hint="eastAsia"/>
              </w:rPr>
              <w:t xml:space="preserve">中学）</w:t>
            </w:r>
            <w:r>
              <w:t xml:space="preserve"> | 0.477*** | 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(0.035)</w:t>
            </w:r>
          </w:p>
        </w:tc>
        <w:tc>
          <w:tcPr/>
          <w:p>
            <w:pPr>
              <w:pStyle w:val="Compact"/>
            </w:pPr>
            <w:r>
              <w:t xml:space="preserve">(0.035)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年齢</w:t>
            </w:r>
            <w:r>
              <w:t xml:space="preserve"> | 0.079*** | 0.059***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(0.007)</w:t>
            </w:r>
          </w:p>
        </w:tc>
        <w:tc>
          <w:tcPr/>
          <w:p>
            <w:pPr>
              <w:pStyle w:val="Compact"/>
            </w:pPr>
            <w:r>
              <w:t xml:space="preserve">(0.007)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年齢2乗</w:t>
            </w:r>
            <w:r>
              <w:t xml:space="preserve"> | -0.001*** | -0.001*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(0.000)</w:t>
            </w:r>
          </w:p>
        </w:tc>
        <w:tc>
          <w:tcPr/>
          <w:p>
            <w:pPr>
              <w:pStyle w:val="Compact"/>
            </w:pPr>
            <w:r>
              <w:t xml:space="preserve">(0.000)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専門職（vs.</w:t>
            </w:r>
            <w:r>
              <w:t xml:space="preserve"> </w:t>
            </w:r>
            <w:r>
              <w:rPr>
                <w:rFonts w:hint="eastAsia"/>
              </w:rPr>
              <w:t xml:space="preserve">管理職）</w:t>
            </w:r>
            <w:r>
              <w:t xml:space="preserve"> | | -0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(0.037)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技術職・准専門職（vs.</w:t>
            </w:r>
            <w:r>
              <w:t xml:space="preserve"> </w:t>
            </w:r>
            <w:r>
              <w:rPr>
                <w:rFonts w:hint="eastAsia"/>
              </w:rPr>
              <w:t xml:space="preserve">管理職）</w:t>
            </w:r>
            <w:r>
              <w:t xml:space="preserve"> |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(0.036)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事務補助（vs.</w:t>
            </w:r>
            <w:r>
              <w:t xml:space="preserve"> </w:t>
            </w:r>
            <w:r>
              <w:rPr>
                <w:rFonts w:hint="eastAsia"/>
              </w:rPr>
              <w:t xml:space="preserve">管理職）</w:t>
            </w:r>
            <w:r>
              <w:t xml:space="preserve"> | | 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(0.038)</w:t>
            </w:r>
          </w:p>
        </w:tc>
      </w:tr>
      <w:tr>
        <w:tc>
          <w:tcPr>
            <w:gridSpan w:val="2"/>
          </w:tcPr>
          <w:p>
            <w:pPr>
              <w:pStyle w:val="Compact"/>
            </w:pPr>
            <w:r>
              <w:rPr>
                <w:rFonts w:hint="eastAsia"/>
              </w:rPr>
              <w:t xml:space="preserve">サービス・販売（vs.</w:t>
            </w:r>
            <w:r>
              <w:t xml:space="preserve"> </w:t>
            </w:r>
            <w:r>
              <w:rPr>
                <w:rFonts w:hint="eastAsia"/>
              </w:rPr>
              <w:t xml:space="preserve">管理職）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(0.037)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農林漁業（vs.</w:t>
            </w:r>
            <w:r>
              <w:t xml:space="preserve"> </w:t>
            </w:r>
            <w:r>
              <w:rPr>
                <w:rFonts w:hint="eastAsia"/>
              </w:rPr>
              <w:t xml:space="preserve">管理職）</w:t>
            </w:r>
            <w:r>
              <w:t xml:space="preserve"> | | 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(0.090)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技能工（vs.</w:t>
            </w:r>
            <w:r>
              <w:t xml:space="preserve"> </w:t>
            </w:r>
            <w:r>
              <w:rPr>
                <w:rFonts w:hint="eastAsia"/>
              </w:rPr>
              <w:t xml:space="preserve">管理職）</w:t>
            </w:r>
            <w:r>
              <w:t xml:space="preserve"> | | -0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(0.041)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設備・機械運転・組立（vs.</w:t>
            </w:r>
            <w:r>
              <w:t xml:space="preserve"> </w:t>
            </w:r>
            <w:r>
              <w:rPr>
                <w:rFonts w:hint="eastAsia"/>
              </w:rPr>
              <w:t xml:space="preserve">管理職）</w:t>
            </w:r>
            <w:r>
              <w:t xml:space="preserve"> |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(0.043)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単純作業（vs.</w:t>
            </w:r>
            <w:r>
              <w:t xml:space="preserve"> </w:t>
            </w:r>
            <w:r>
              <w:rPr>
                <w:rFonts w:hint="eastAsia"/>
              </w:rPr>
              <w:t xml:space="preserve">管理職）</w:t>
            </w:r>
            <w:r>
              <w:t xml:space="preserve"> | | 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(0.049)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切片</w:t>
            </w:r>
            <w:r>
              <w:t xml:space="preserve"> | 5.049*** | 6.153***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(0.151)</w:t>
            </w:r>
          </w:p>
        </w:tc>
        <w:tc>
          <w:tcPr/>
          <w:p>
            <w:pPr>
              <w:pStyle w:val="Compact"/>
            </w:pPr>
            <w:r>
              <w:t xml:space="preserve">(0.150)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Num.Obs.</w:t>
            </w:r>
          </w:p>
        </w:tc>
        <w:tc>
          <w:tcPr/>
          <w:p>
            <w:pPr>
              <w:pStyle w:val="Compact"/>
            </w:pPr>
            <w:r>
              <w:t xml:space="preserve">2728</w:t>
            </w:r>
          </w:p>
        </w:tc>
        <w:tc>
          <w:tcPr/>
          <w:p>
            <w:pPr>
              <w:pStyle w:val="Compact"/>
            </w:pPr>
            <w:r>
              <w:t xml:space="preserve">2728</w:t>
            </w:r>
          </w:p>
        </w:tc>
      </w:tr>
      <w:tr>
        <w:tc>
          <w:tcPr/>
          <w:p>
            <w:pPr>
              <w:pStyle w:val="Compact"/>
            </w:pPr>
            <w:r>
              <w:t xml:space="preserve">R2</w:t>
            </w:r>
          </w:p>
        </w:tc>
        <w:tc>
          <w:tcPr/>
          <w:p>
            <w:pPr>
              <w:pStyle w:val="Compact"/>
            </w:pPr>
            <w:r>
              <w:t xml:space="preserve">0.305</w:t>
            </w:r>
          </w:p>
        </w:tc>
        <w:tc>
          <w:tcPr/>
          <w:p>
            <w:pPr>
              <w:pStyle w:val="Compact"/>
            </w:pPr>
            <w:r>
              <w:t xml:space="preserve">0.418</w:t>
            </w:r>
          </w:p>
        </w:tc>
      </w:tr>
      <w:tr>
        <w:tc>
          <w:tcPr>
            <w:gridSpan w:val="3"/>
          </w:tcPr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p &lt; 0.1, * p &lt; 0.05, ** p &lt; 0.01, *** p</w:t>
            </w:r>
            <w:r>
              <w:t xml:space="preserve"> </w:t>
            </w:r>
            <w:r>
              <w:t xml:space="preserve">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2025-05-20T08:55:48Z</dcterms:created>
  <dcterms:modified xsi:type="dcterms:W3CDTF">2025-05-20T08:55:48Z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