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194"/>
        <w:tblLayout w:type="fixed"/>
        <w:tblLook w:firstRow="1" w:lastRow="1" w:firstColumn="0" w:lastColumn="0" w:noHBand="0" w:noVBand="0" w:val="0020"/>
      </w:tblPr>
      <w:tblGrid>
        <w:gridCol w:w="24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Model 1</w:t>
            </w:r>
          </w:p>
        </w:tc>
        <w:tc>
          <w:tcPr/>
          <w:p>
            <w:pPr>
              <w:pStyle w:val="Compact"/>
            </w:pPr>
            <w:r>
              <w:t xml:space="preserve">Model 2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男性（vs.</w:t>
            </w:r>
            <w:r>
              <w:t xml:space="preserve"> </w:t>
            </w:r>
            <w:r>
              <w:rPr>
                <w:rFonts w:hint="eastAsia"/>
              </w:rPr>
              <w:t xml:space="preserve">女性）</w:t>
            </w:r>
            <w:r>
              <w:t xml:space="preserve"> | 0.416*** | 0.34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(0.018)</w:t>
            </w:r>
          </w:p>
        </w:tc>
        <w:tc>
          <w:tcPr/>
          <w:p>
            <w:pPr>
              <w:pStyle w:val="Compact"/>
            </w:pPr>
            <w:r>
              <w:t xml:space="preserve">(0.019)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高校（vs.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0.116*** | 0.04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(0.034)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短大高専（vs.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0.221*** | 0.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大学大学院（vs.</w:t>
            </w:r>
            <w:r>
              <w:t xml:space="preserve"> </w:t>
            </w:r>
            <w:r>
              <w:rPr>
                <w:rFonts w:hint="eastAsia"/>
              </w:rPr>
              <w:t xml:space="preserve">中学）</w:t>
            </w:r>
            <w:r>
              <w:t xml:space="preserve"> | 0.477*** | 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  <w:tc>
          <w:tcPr/>
          <w:p>
            <w:pPr>
              <w:pStyle w:val="Compact"/>
            </w:pPr>
            <w:r>
              <w:t xml:space="preserve">(0.035)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0.079*** | 0.059***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  <w:tc>
          <w:tcPr/>
          <w:p>
            <w:pPr>
              <w:pStyle w:val="Compact"/>
            </w:pPr>
            <w:r>
              <w:t xml:space="preserve">(0.007)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年齢2乗</w:t>
            </w:r>
            <w:r>
              <w:t xml:space="preserve"> | -0.001*** | -0.001*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  <w:r>
              <w:t xml:space="preserve">(0.000)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専門職（vs.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技術職・准専門職（vs.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(0.036)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事務補助（vs.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(0.038)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サービス・販売（vs.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農林漁業（vs.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(0.090)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技能工（vs.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(0.041)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設備・機械運転・組立（vs.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(0.043)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単純作業（vs.</w:t>
            </w:r>
            <w:r>
              <w:t xml:space="preserve"> </w:t>
            </w:r>
            <w:r>
              <w:rPr>
                <w:rFonts w:hint="eastAsia"/>
              </w:rPr>
              <w:t xml:space="preserve">管理職）</w:t>
            </w:r>
            <w:r>
              <w:t xml:space="preserve"> | | -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(0.049)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5.049*** | 6.153***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(0.151)</w:t>
            </w:r>
          </w:p>
        </w:tc>
        <w:tc>
          <w:tcPr/>
          <w:p>
            <w:pPr>
              <w:pStyle w:val="Compact"/>
            </w:pPr>
            <w:r>
              <w:t xml:space="preserve">(0.150)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0.305</w:t>
            </w:r>
          </w:p>
        </w:tc>
        <w:tc>
          <w:tcPr/>
          <w:p>
            <w:pPr>
              <w:pStyle w:val="Compact"/>
            </w:pPr>
            <w:r>
              <w:t xml:space="preserve">0.418</w:t>
            </w:r>
          </w:p>
        </w:tc>
      </w:tr>
      <w:tr>
        <w:tc>
          <w:tcPr>
            <w:gridSpan w:val="3"/>
          </w:tcPr>
          <w:p>
            <w:pPr>
              <w:pStyle w:val="Compact"/>
              <w:numPr>
                <w:ilvl w:val="0"/>
                <w:numId w:val="1001"/>
              </w:numPr>
            </w:pPr>
            <w:r>
              <w:t xml:space="preserve">p &lt; 0.1, * p &lt; 0.05, ** p &lt; 0.01, *** p</w:t>
            </w:r>
            <w:r>
              <w:t xml:space="preserve"> </w:t>
            </w:r>
            <w:r>
              <w:t xml:space="preserve">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2025-07-02T06:55:41Z</dcterms:created>
  <dcterms:modified xsi:type="dcterms:W3CDTF">2025-07-02T06:55:41Z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