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72"/>
        <w:gridCol w:w="1903"/>
        <w:gridCol w:w="2086"/>
      </w:tblGrid>
      <w:tr>
        <w:trPr>
          <w:cantSplit/>
          <w:trHeight w:val="601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女性, N = 1,284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男性, N = 1,444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44.0 (10.7)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43.7 (11.0)</w:t>
            </w:r>
          </w:p>
        </w:tc>
      </w:tr>
      <w:tr>
        <w:trPr>
          <w:cantSplit/>
          <w:trHeight w:val="5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最終学歴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中学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94 (7.3%)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132 (9.1%)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高校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466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482 (33%)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短大高専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466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215 (15%)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大学大学院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258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615 (43%)</w:t>
            </w:r>
          </w:p>
        </w:tc>
      </w:tr>
      <w:tr>
        <w:trPr>
          <w:cantSplit/>
          <w:trHeight w:val="5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職業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管理職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 (14%)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専門職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206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213 (15%)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技術職・准専門職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143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296 (20%)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事務補助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324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115 (8.0%)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サービス・販売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397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179 (12%)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農林漁業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(1.2%)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技能工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62 (4.8%)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203 (14%)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設備・機械運転・組立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174 (12%)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単純作業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 (7.4%)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 (3.0%)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賃金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1,339.1 (781.6)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2,195.5 (1,338.7)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Mean (SD); n (%)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2022-10-09T13:07:31Z</dcterms:modified>
  <cp:category/>
</cp:coreProperties>
</file>