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94"/>
        <w:tblLayout w:type="fixed"/>
        <w:tblLook w:firstRow="1" w:lastRow="1" w:firstColumn="0" w:lastColumn="0" w:noHBand="0" w:noVBand="0" w:val="0020"/>
      </w:tblPr>
      <w:tblGrid>
        <w:gridCol w:w="24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男性（vs.</w:t>
            </w:r>
            <w:r>
              <w:t xml:space="preserve"> </w:t>
            </w:r>
            <w:r>
              <w:rPr>
                <w:rFonts w:hint="eastAsia"/>
              </w:rPr>
              <w:t xml:space="preserve">女性）</w:t>
            </w:r>
            <w:r>
              <w:t xml:space="preserve"> | 0.416*** | 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高校（vs.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0.116*** | 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短大高専（vs.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0.221*** | 0.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大学大学院（vs.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0.477*** |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</w:t>
            </w:r>
            <w:r>
              <w:t xml:space="preserve"> | 0.079*** | 0.059***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年齢2乗</w:t>
            </w:r>
            <w:r>
              <w:t xml:space="preserve"> | -0.001*** | -0.001*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技術職・准専門職（vs.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事務補助（vs.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rFonts w:hint="eastAsia"/>
              </w:rPr>
              <w:t xml:space="preserve">サービス・販売（vs.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農林漁業（vs.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技能工（vs.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設備・機械運転・組立（vs.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単純作業（vs.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切片</w:t>
            </w:r>
            <w:r>
              <w:t xml:space="preserve"> | 5.049*** | 6.153***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(0.151)</w:t>
            </w:r>
          </w:p>
        </w:tc>
        <w:tc>
          <w:tcPr/>
          <w:p>
            <w:pPr>
              <w:pStyle w:val="Compact"/>
            </w:pPr>
            <w:r>
              <w:t xml:space="preserve">(0.150)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</w:t>
            </w:r>
            <w:r>
              <w:t xml:space="preserve"> </w:t>
            </w:r>
            <w:r>
              <w:t xml:space="preserve">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2025-12-01T08:34:43Z</dcterms:created>
  <dcterms:modified xsi:type="dcterms:W3CDTF">2025-12-01T08:34:43Z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