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bCs/>
          <w:i w:val="false"/>
          <w:iCs w:val="false"/>
          <w:color w:val="1F3864"/>
          <w:sz w:val="40"/>
          <w:szCs w:val="40"/>
        </w:rPr>
        <w:t xml:space="preserve">川崎町高齢者保健福祉計画</w:t>
      </w:r>
    </w:p>
    <w:p>
      <w:pPr>
        <w:spacing w:after="480" w:before="0"/>
        <w:jc w:val="center"/>
      </w:pPr>
      <w:r>
        <w:rPr>
          <w:rFonts w:ascii="游ゴシック" w:cs="游ゴシック" w:eastAsia="游ゴシック" w:hAnsi="游ゴシック"/>
          <w:b/>
          <w:bCs/>
          <w:i w:val="false"/>
          <w:iCs w:val="false"/>
          <w:color w:val="1F3864"/>
          <w:sz w:val="40"/>
          <w:szCs w:val="40"/>
        </w:rPr>
        <w:t xml:space="preserve">第10期介護保険事業計画</w:t>
      </w:r>
    </w:p>
    <w:p>
      <w:pPr>
        <w:spacing w:after="240" w:before="240"/>
        <w:jc w:val="center"/>
      </w:pPr>
      <w:r>
        <w:rPr>
          <w:rFonts w:ascii="游ゴシック" w:cs="游ゴシック" w:eastAsia="游ゴシック" w:hAnsi="游ゴシック"/>
          <w:b w:val="false"/>
          <w:bCs w:val="false"/>
          <w:i/>
          <w:iCs/>
          <w:color w:val="2F5597"/>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bCs/>
          <w:i w:val="false"/>
          <w:iCs w:val="false"/>
          <w:color w:val="ED7D31"/>
          <w:sz w:val="28"/>
          <w:szCs w:val="28"/>
        </w:rPr>
        <w:t xml:space="preserve">計画書素案 Ver.1.10</w:t>
      </w:r>
    </w:p>
    <w:p>
      <w:pPr>
        <w:spacing w:after="80" w:before="80"/>
        <w:jc w:val="center"/>
      </w:pPr>
      <w:r>
        <w:rPr>
          <w:rFonts w:ascii="游ゴシック" w:cs="游ゴシック" w:eastAsia="游ゴシック" w:hAnsi="游ゴシック"/>
          <w:b w:val="false"/>
          <w:bCs w:val="false"/>
          <w:i/>
          <w:iCs/>
          <w:color w:val="595959"/>
          <w:sz w:val="18"/>
          <w:szCs w:val="18"/>
        </w:rPr>
        <w:t xml:space="preserve">（アンケート調査結果 反映版）</w:t>
      </w:r>
    </w:p>
    <w:p>
      <w:pPr>
        <w:spacing w:after="80" w:before="2400"/>
        <w:jc w:val="center"/>
      </w:pPr>
      <w:r>
        <w:rPr>
          <w:rFonts w:ascii="游ゴシック" w:cs="游ゴシック" w:eastAsia="游ゴシック" w:hAnsi="游ゴシック"/>
          <w:b w:val="false"/>
          <w:bCs w:val="false"/>
          <w:i w:val="false"/>
          <w:iCs w:val="false"/>
          <w:color w:val="595959"/>
          <w:sz w:val="22"/>
          <w:szCs w:val="22"/>
        </w:rPr>
        <w:t xml:space="preserve">計画期間：令和9年度〜令和11年度</w:t>
      </w:r>
    </w:p>
    <w:p>
      <w:pPr>
        <w:spacing w:after="80" w:before="80"/>
        <w:jc w:val="center"/>
      </w:pPr>
      <w:r>
        <w:rPr>
          <w:rFonts w:ascii="游ゴシック" w:cs="游ゴシック" w:eastAsia="游ゴシック" w:hAnsi="游ゴシック"/>
          <w:b w:val="false"/>
          <w:bCs w:val="false"/>
          <w:i w:val="false"/>
          <w:iCs w:val="false"/>
          <w:color w:val="595959"/>
          <w:sz w:val="22"/>
          <w:szCs w:val="22"/>
        </w:rPr>
        <w:t xml:space="preserve">令和8年6月</w:t>
      </w:r>
    </w:p>
    <w:p>
      <w:pPr>
        <w:spacing w:after="80" w:before="80"/>
        <w:jc w:val="center"/>
      </w:pPr>
      <w:r>
        <w:rPr>
          <w:rFonts w:ascii="游ゴシック" w:cs="游ゴシック" w:eastAsia="游ゴシック" w:hAnsi="游ゴシック"/>
          <w:b w:val="false"/>
          <w:bCs w:val="false"/>
          <w:i w:val="false"/>
          <w:iCs w:val="false"/>
          <w:color w:val="595959"/>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color w:val="595959"/>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pacing w:after="360" w:before="480" w:line="320"/>
        <w:jc w:val="center"/>
      </w:pPr>
      <w:r>
        <w:rPr>
          <w:rFonts w:ascii="游ゴシック" w:cs="游ゴシック" w:eastAsia="游ゴシック" w:hAnsi="游ゴシック"/>
          <w:b/>
          <w:bCs/>
          <w:i w:val="false"/>
          <w:iCs w:val="false"/>
          <w:color w:val="1F3864"/>
          <w:sz w:val="36"/>
          <w:szCs w:val="36"/>
        </w:rPr>
        <w:t xml:space="preserve">ご　挨　拶</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false"/>
          <w:bCs w:val="false"/>
          <w:i w:val="false"/>
          <w:iCs w:val="false"/>
          <w:color w:val="000000"/>
          <w:sz w:val="22"/>
          <w:szCs w:val="22"/>
        </w:rPr>
        <w:t xml:space="preserve">令和9年3月</w:t>
      </w:r>
    </w:p>
    <w:p>
      <w:pPr>
        <w:spacing w:after="80" w:before="240"/>
        <w:jc w:val="right"/>
      </w:pPr>
      <w:r>
        <w:rPr>
          <w:rFonts w:ascii="游ゴシック" w:cs="游ゴシック" w:eastAsia="游ゴシック" w:hAnsi="游ゴシック"/>
          <w:b/>
          <w:bCs/>
          <w:i w:val="false"/>
          <w:iCs w:val="false"/>
          <w:color w:val="000000"/>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pBdr>
          <w:bottom w:val="single" w:color="1F3864" w:sz="24"/>
        </w:pBdr>
        <w:spacing w:after="480" w:before="240" w:line="320"/>
        <w:jc w:val="center"/>
      </w:pPr>
      <w:r>
        <w:rPr>
          <w:rFonts w:ascii="游ゴシック" w:cs="游ゴシック" w:eastAsia="游ゴシック" w:hAnsi="游ゴシック"/>
          <w:b/>
          <w:bCs/>
          <w:i w:val="false"/>
          <w:iCs w:val="false"/>
          <w:color w:val="1F3864"/>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ご挨拶（川崎町長）</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第1章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計画の策定にあたって</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1-1．計画策定の背景と目的</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1-2．計画の位置付け</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1-3．計画の期間</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1-4．計画策定の体制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第2章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川崎町の高齢者を取り巻く現状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2-1．人口・世帯の現状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2-2．高齢者の状況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2-3．要介護認定とサービス利用の状況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2-4．介護給付費の状況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2-5．高齢者を取り巻く地域資源</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2-6．調査結果からみた高齢者の状況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第3章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第9期計画の取組実績と評価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16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3-1．第9期計画の体系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3-2．主要施策の取組実績（6目標別・詳細）</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3-3．評価指標の達成状況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3-4．第10期に向けた課題</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第4章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計画の基本理念と基本目標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22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4-1．基本理念(第9期踏襲)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4-2．基本目標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4-3．計画の重点ポイント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4-4．計画の体系図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第5章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施策の展開</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5-1．健康づくり・介護予防の推進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5-2．高齢者が安心して暮らせるまちづくり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5-3．在宅生活継続の支援</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5-4．介護サービスの質の確保と人材確保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5-5．地域包括ケアシステムの深化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第6章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認知症施策推進計画(独立章)</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6-1．認知症基本法と川崎町の対応方針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6-2．認知症施策の体系(7基本的施策)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6-3．重点施策とKPI</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第7章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介護保険サービス見込量と保険料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33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7-1．サービス見込量の推計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7-2．介護給付費の見込み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7-3．介護保険料の試算(8ステップ・3パターン)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第8章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計画の推進体制と評価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8-1．推進体制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8-2．進行管理(PDCAサイクル)</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8-3．計画の評価と見直し</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43</w:t>
            </w:r>
          </w:p>
        </w:tc>
      </w:tr>
    </w:tbl>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jc w:val="left"/>
      </w:pPr>
      <w:r>
        <w:rPr>
          <w:rFonts w:ascii="游ゴシック" w:cs="游ゴシック" w:eastAsia="游ゴシック" w:hAnsi="游ゴシック"/>
          <w:b w:val="false"/>
          <w:bCs w:val="false"/>
          <w:i/>
          <w:iCs/>
          <w:color w:val="595959"/>
          <w:sz w:val="18"/>
          <w:szCs w:val="18"/>
        </w:rPr>
        <w:t xml:space="preserve">※本素案Ver.1.10は、令和8年6〜7月に実施した2調査（一般高齢者576件・要支援要介護認定者142件）の結果に加え、令和8年9月1日に町からご提供いただいた実績データ、保険者機能強化推進交付金等の評価結果、及び令和8年9月2日の第1回策定委員会でのご意見を反映した版です。第7章には令和8年9月時点の保険料概算試算を掲載していますが、これは確定値ではなく仮試算であり、第3回策定委員会（令和9年1月）で確定しま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1F3864"/>
          <w:sz w:val="48"/>
          <w:szCs w:val="48"/>
        </w:rPr>
        <w:t xml:space="preserve">第 1 章</w:t>
      </w:r>
    </w:p>
    <w:p>
      <w:pPr>
        <w:pBdr>
          <w:top w:val="single" w:color="1F3864" w:sz="24"/>
          <w:bottom w:val="single" w:color="1F3864" w:sz="24"/>
        </w:pBdr>
        <w:shd w:fill="DAE3F3" w:val="solid"/>
        <w:spacing w:after="240" w:before="0" w:line="320"/>
        <w:jc w:val="center"/>
      </w:pPr>
      <w:r>
        <w:rPr>
          <w:rFonts w:ascii="游ゴシック" w:cs="游ゴシック" w:eastAsia="游ゴシック" w:hAnsi="游ゴシック"/>
          <w:b/>
          <w:bCs/>
          <w:i w:val="false"/>
          <w:iCs w:val="false"/>
          <w:color w:val="1F3864"/>
          <w:sz w:val="32"/>
          <w:szCs w:val="32"/>
        </w:rPr>
        <w:t xml:space="preserve">計画の策定にあたって</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pBdr>
          <w:bottom w:val="single" w:color="1F3864" w:sz="18"/>
        </w:pBdr>
        <w:spacing w:after="160" w:before="360" w:line="320"/>
      </w:pPr>
      <w:r>
        <w:rPr>
          <w:rFonts w:ascii="游ゴシック" w:cs="游ゴシック" w:eastAsia="游ゴシック" w:hAnsi="游ゴシック"/>
          <w:b/>
          <w:bCs/>
          <w:i w:val="false"/>
          <w:iCs w:val="false"/>
          <w:color w:val="1F3864"/>
          <w:sz w:val="26"/>
          <w:szCs w:val="26"/>
        </w:rPr>
        <w:t>1-1　計画策定の背景と目的</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介護保険制度の経緯と本計画の位置</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我が国の高齢化と2040年問題</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川崎町の現状と課題</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本計画の目的</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本計画は、介護保険法・老人福祉法・認知症基本法の3つの法律に基づく一体的計画である。</w:t>
      </w:r>
    </w:p>
    <w:p>
      <w:pPr>
        <w:pBdr>
          <w:bottom w:val="single" w:color="1F3864" w:sz="18"/>
        </w:pBdr>
        <w:spacing w:after="160" w:before="360" w:line="320"/>
      </w:pPr>
      <w:r>
        <w:rPr>
          <w:rFonts w:ascii="游ゴシック" w:cs="游ゴシック" w:eastAsia="游ゴシック" w:hAnsi="游ゴシック"/>
          <w:b/>
          <w:bCs/>
          <w:i w:val="false"/>
          <w:iCs w:val="false"/>
          <w:color w:val="1F3864"/>
          <w:sz w:val="26"/>
          <w:szCs w:val="26"/>
        </w:rPr>
        <w:t>1-2　計画の位置付け</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本計画は、以下の法令・上位計画・関連計画との整合を図りながら策定します。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法令上の根拠</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共生社会の実現を推進するための認知症基本法第14条（市町村認知症施策推進計画）</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上位計画・関連計画との関係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3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計画名</w:t>
            </w:r>
          </w:p>
        </w:tc>
        <w:tc>
          <w:tcPr>
            <w:tcW w:type="pct" w:w="4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整合の方針</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町の総合的なまちづくり方針との整合を確保</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3計画同時策定のメリットを活かし、移送サービス・重層的支援体制等の重複論点を整理して整合を確保（受託：ジャパン総研）</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健康寿命延伸・介護予防の観点で項目相互参照</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社協独自計画。フレイル予防・介護予防事業のタイアップで連動（整合性確認は不要と整理）</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国指針の3層整合（国→県→町）の原則に基づく</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県計画との整合（広域連携・人材確保）</w:t>
            </w:r>
          </w:p>
        </w:tc>
      </w:tr>
    </w:tbl>
    <w:p>
      <w:pPr>
        <w:pBdr>
          <w:bottom w:val="single" w:color="1F3864" w:sz="18"/>
        </w:pBdr>
        <w:spacing w:after="160" w:before="360" w:line="320"/>
      </w:pPr>
      <w:r>
        <w:rPr>
          <w:rFonts w:ascii="游ゴシック" w:cs="游ゴシック" w:eastAsia="游ゴシック" w:hAnsi="游ゴシック"/>
          <w:b/>
          <w:bCs/>
          <w:i w:val="false"/>
          <w:iCs w:val="false"/>
          <w:color w:val="1F3864"/>
          <w:sz w:val="26"/>
          <w:szCs w:val="26"/>
        </w:rPr>
        <w:t>1-3　計画の期間</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期間</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令和6年度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令和7年度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令和8年度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令和9年度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令和10年度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令和11年度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令和12年度</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第9期</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shd w:fill="ED7D3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w:t>
            </w:r>
          </w:p>
        </w:tc>
        <w:tc>
          <w:tcPr>
            <w:shd w:fill="ED7D3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w:t>
            </w:r>
          </w:p>
        </w:tc>
        <w:tc>
          <w:tcPr>
            <w:shd w:fill="ED7D3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bl>
    <w:p>
      <w:pPr>
        <w:pBdr>
          <w:bottom w:val="single" w:color="1F3864" w:sz="18"/>
        </w:pBdr>
        <w:spacing w:after="160" w:before="360" w:line="320"/>
      </w:pPr>
      <w:r>
        <w:rPr>
          <w:rFonts w:ascii="游ゴシック" w:cs="游ゴシック" w:eastAsia="游ゴシック" w:hAnsi="游ゴシック"/>
          <w:b/>
          <w:bCs/>
          <w:i w:val="false"/>
          <w:iCs w:val="false"/>
          <w:color w:val="1F3864"/>
          <w:sz w:val="26"/>
          <w:szCs w:val="26"/>
        </w:rPr>
        <w:t>1-4　計画策定の体制</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本計画は、以下の体制で策定します。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策定委員会</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住民意見の反映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一般高齢者ニーズ調査（対象：65歳以上の高齢者1,000名）</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要支援・要介護認定者調査（対象：認定者300名）</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関係機関等との連携</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375623"/>
          <w:sz w:val="48"/>
          <w:szCs w:val="48"/>
        </w:rPr>
        <w:t xml:space="preserve">第 2 章</w:t>
      </w:r>
    </w:p>
    <w:p>
      <w:pPr>
        <w:pBdr>
          <w:top w:val="single" w:color="375623" w:sz="24"/>
          <w:bottom w:val="single" w:color="375623" w:sz="24"/>
        </w:pBdr>
        <w:shd w:fill="E2EFDA" w:val="solid"/>
        <w:spacing w:after="240" w:before="0" w:line="320"/>
        <w:jc w:val="center"/>
      </w:pPr>
      <w:r>
        <w:rPr>
          <w:rFonts w:ascii="游ゴシック" w:cs="游ゴシック" w:eastAsia="游ゴシック" w:hAnsi="游ゴシック"/>
          <w:b/>
          <w:bCs/>
          <w:i w:val="false"/>
          <w:iCs w:val="false"/>
          <w:color w:val="375623"/>
          <w:sz w:val="32"/>
          <w:szCs w:val="32"/>
        </w:rPr>
        <w:t xml:space="preserve">川崎町の高齢者を取り巻く現状</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2-1　人口・世帯の現状</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1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令和3年度末
（2022.3）</w:t>
            </w:r>
          </w:p>
        </w:tc>
        <w:tc>
          <w:tcPr>
            <w:tcW w:type="pct" w:w="1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令和7年6月
（2025.6）</w:t>
            </w:r>
          </w:p>
        </w:tc>
        <w:tc>
          <w:tcPr>
            <w:tcW w:type="pct" w:w="1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増減数</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1,569人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△176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1,070人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548235"/>
                <w:sz w:val="18"/>
                <w:szCs w:val="18"/>
              </w:rPr>
              <w:t xml:space="preserve">+165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548235"/>
                <w:sz w:val="18"/>
                <w:szCs w:val="18"/>
              </w:rPr>
              <w:t xml:space="preserve">+18.2%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±0.0%</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3,255人</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3,244人</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△11</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△0.3%</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（再掲）後期高齢者75歳以上</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1,510人</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1,675人</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548235"/>
                <w:sz w:val="18"/>
                <w:szCs w:val="18"/>
              </w:rPr>
              <w:t xml:space="preserve">+165</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548235"/>
                <w:sz w:val="18"/>
                <w:szCs w:val="18"/>
              </w:rPr>
              <w:t xml:space="preserve">+10.9%</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（再掲）住所地特例</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34人</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24人</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△29.4%</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出典：介護保険事業状況報告（保険者データ R7.6月分・年報データR3年度）</w:t>
      </w:r>
    </w:p>
    <w:p>
      <w:pPr>
        <w:spacing w:after="60" w:before="12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図2-1　第1号被保険者の年齢階級別推移（R3年度末→R7.6月）</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第1号被保険者総数はほぼ横ばいだが、後期高齢者（75歳以上）は約11%増加。年齢構成の高齢化が進行している。</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号被保険者数の総数は令和3年度末3,255人から令和7年6月3,244人と微減ですが、内訳を見ると前期高齢者（65〜75歳未満）が約10%減少する一方、後期高齢者（75歳以上）は約11%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特に75歳以上85歳未満の階層が令和3年度末905人から令和7年6月1,070人と4年で165人（+18.2%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人口動態（令和7年6月単月）</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・当月中増：11人（うち65歳到達8人・転入2人・その他1人）</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・当月中減：15人（うち死亡12人・転出3人）</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・自然動態は減少局面（死亡&gt;65歳到達）に入っており、第1号被保険者数は今後緩やかに減少する見込み</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世帯の状況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2-2　高齢者の状況</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高齢化率</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-5）。</w:t>
      </w:r>
    </w:p>
    <w:p>
      <w:pPr>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図2-5　高齢化率比較（令和7年3月31日時点）</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段階</w:t>
            </w:r>
          </w:p>
        </w:tc>
        <w:tc>
          <w:tcPr>
            <w:tcW w:type="pct" w:w="4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15%"/>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人数</w:t>
            </w:r>
          </w:p>
        </w:tc>
        <w:tc>
          <w:tcPr>
            <w:tcW w:type="pct" w:w="15%"/>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構成比</w:t>
            </w:r>
          </w:p>
        </w:tc>
        <w:tc>
          <w:tcPr>
            <w:tcW w:type="pct" w:w="2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13.2%</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世帯非課税（年金80〜120万円）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273人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8.4%</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8.4%</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本人非課税・世帯課税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466人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14.3%</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本人非課税</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第5段階</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本人非課税・世帯課税（基準）</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697人</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21.4%</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449人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13.8%</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11.8%</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5.3%</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本人課税（320万円以上）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106人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3.3%</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課税層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3,255人</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100.0%</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出典：年報データ2021（介護保険事業状況報告 令和3年度・様式1所得段階別）</w:t>
      </w:r>
    </w:p>
    <w:p>
      <w:pPr>
        <w:spacing w:after="60"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図2-4　所得段階別第1号被保険者の構成（令和3年度末・計3,255人）</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非課税層（第1〜3段階）が979人（30.1%）を占め、低所得高齢者への保険料軽減・補足給付の重要性が示されています。一方、本人課税層（第6〜9段階）は1,113人（34.2%）で、相対的な保険料負担力を有する層も一定規模存在してい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特に第1段階（年金収入80万円以下の世帯非課税層）が431人と多く、後期高齢者の増加に伴いさらに増加する可能性があります。この層は保険料軽減措置（5割軽減）の対象であり、町の一般会計繰入（低所得者保険料軽減繰入金として令和3年度実績で約13,555千円）が継続的に必要となり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2-3　要介護認定とサービス利用の状況</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サービス受給者数（令和7年6月時点）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サービス区分</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要支援1</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要支援2</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要介護1</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要介護2</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要介護3</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要介護4</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要介護5</w:t>
            </w:r>
          </w:p>
        </w:tc>
        <w:tc>
          <w:tcPr>
            <w:tcW w:type="pct" w:w="16%"/>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134人</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うち特養</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23</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21</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21</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68人</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うち老健</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13</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22</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66人</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延べ合計（重複あり）</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13</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50</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54</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103</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123</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78</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45</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466人</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出典：介護保険事業状況報告（保険者データ202506・様式1の6）</w:t>
      </w:r>
    </w:p>
    <w:p>
      <w:pPr>
        <w:spacing w:after="60" w:before="120"/>
        <w:jc w:val="center"/>
      </w:pPr>
      <w: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429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図2-2　サービス受給者の区分別構成（令和7年6月時点・延べ466人）</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令和7年6月時点で、サービス受給者は延べ466人（重複あり）です。サービス区分別構成は、居宅サービス59.2%、地域密着型12.0%、施設28.8%となっており、在宅介護が主軸を占めています。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ただし、要介護度別の利用状況を見ると、要介護3以上の重度層では施設サービス利用が中心となります。施設サービス受給者134人のうち、要介護3以上が104人（77.6%）を占めており、重度認定者の受け皿として施設機能が機能していることが分かります。一方、要介護1〜2の中軽度層では居宅サービス・地域密着型サービスでの対応が中心となってい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施設サービス受給者134人のうち、特養68人・老健66人がほぼ拮抗。介護療養型医療施設は令和5年度末に制度廃止されたため第10期では記載しない。介護医療院は0人であり、第10期見込量は0据置とするが、町提供実績データにも計上がないため取扱いを確認する。</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住所地特例（町外施設入所）の状況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7年6月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地区別の認定者・サービス利用状況、町外施設利用者の所在自治体内訳は、町担当課から経年データを入手次第追記します。</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2-4　介護給付費の状況</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年間給付費（令和3年度実績）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サービス区分</w:t>
            </w:r>
          </w:p>
        </w:tc>
        <w:tc>
          <w:tcPr>
            <w:tcW w:type="pct" w:w="1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要支援計</w:t>
            </w:r>
          </w:p>
        </w:tc>
        <w:tc>
          <w:tcPr>
            <w:tcW w:type="pct" w:w="1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要介護計</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合計（円）</w:t>
            </w:r>
          </w:p>
        </w:tc>
        <w:tc>
          <w:tcPr>
            <w:tcW w:type="pct" w:w="14%"/>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構成比</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居宅サービス計</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26,821,755</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339,234,895</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366,056,650</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2,490,773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54,605,942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57,096,715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16,765,707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173,710,493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190,476,200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19.8%</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地域密着型計</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152,764,596</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152,764,596</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15.9%</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施設サービス計</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441,678,518</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441,678,518</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193,053,976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193,053,976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248,624,542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248,624,542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25.9%</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総計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26,821,755</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933,678,009</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960,499,764</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100.0%</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出典：年報データ2021（介護保険事業状況報告 令和3年度・様式2給付費）</w:t>
      </w:r>
    </w:p>
    <w:p>
      <w:pPr>
        <w:spacing w:after="60" w:before="12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図2-3　サービス区分別の年間給付費（令和3年度実績・総額9.6億円）</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令和3年度のサービス種類別給付費合計は約9.6億円。施設サービスが46.0%、居宅サービスが38.1%、地域密着型が15.9%の構成。</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施設サービスが給付費全体の46.0%を占めていることは、川崎町の介護給付構造の大きな特徴です。受給者数では28.8%（134人）に過ぎない施設サービス利用者が、給付費の半分近くを占めるのは、施設サービスの1人当たり単価が居宅サービスより大幅に高いためです。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一方、居宅サービス内訳では通所サービス（デイサービス・デイケア）が約1.9億円（給付費全体の19.8%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8,249万円と地域密着型給付費の54%を占め、認知症ケアにおける重要拠点となっ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介護保険特別会計の状況（令和3年度）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金額（円）</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構成比</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保険給付費 計</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1,042,179,056</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うち介護サービス等諸費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933,658,461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うち介護予防サービス等諸費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26,841,303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うち高額介護サービス等費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26,815,719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うち特定入所者介護サービス等費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52,467,842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5.0%</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地域支援事業費 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32,071,763</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出典：年報データ2021（介護保険事業状況報告 令和3年度・様式4）</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保険料収納実績（令和3年度）</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・調定額累計：237,836,453円　収納額累計：229,136,570円</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・収納率合計：96.3%（特別徴収100%・普通徴収現年度分87.3%）</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・不納欠損額：1,207,220円　未収額：7,492,663円</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収納率96.3%は高水準。第10期保険料試算における予定収納率の根拠となる。</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2-5　高齢者を取り巻く地域資源</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地域包括支援センター</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医療資源</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認知症関連資源</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ユニバーサルサポーター制度（川崎町独自）</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ユニバーサルサポーター14種別約400名は川崎町独自の重要な地域資源。第10期の生活支援体制整備・通いの場展開の中核となる。</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移動支援</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これらの所管は地域振興課・町民生活課・社協・NPO法人と分かれており、第10期では移動支援全体を俯瞰した整理と利用情報の住民への提供が課題です。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独自施策</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・高齢者紙おむつ等支給事業</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・人工透析患者通院交通費助成事業</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2-6　調査結果からみた高齢者の状況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調査の概要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いずれも令和8年6月から7月にかけて郵送により実施しました。割合は、設問ごとに無回答を除いた有効回答数（n）を分母として算出しています。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対象・配布</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有効回答</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介護予防・日常生活圏域ニーズ調査</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要介護認定を受けていない65歳以上の方　1,000名</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576件</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在宅介護実態調査</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要支援・要介護認定者　300名</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142件</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世帯構成と生活基盤（ニーズ調査）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調査結果</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補足</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1人暮らし</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14.7％（83件）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n=564</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夫婦2人暮らし（配偶者65歳以上）</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33.5％（189件）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高齢者のみの世帯は合わせて48.2％</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息子・娘との2世帯</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23.0％（130件）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その他24.1％</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普段の介護・介助が必要ない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85.6％</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「必要だが受けていない」8.4％、「受けている」5.9％（n=557）</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経済的に苦しい（大変＋やや）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31.4％</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n=560。健康状態の悪化と関連がみられる</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持家（一戸建て）</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95.3％</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n=556</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身体機能・転倒・外出（ニーズ調査）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転倒の経験と不安、外出控えは相互に関連しています。転倒不安が「とても」大きい層では外出を控えている割合が48.1％に達し、不安が「ない」層（6.0％）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調査結果</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補足</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過去1年間に転倒した経験がある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33.6％</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「何度もある」11.0％＋「1度ある」22.6％（n=572）</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転倒に対する不安がある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51.9％</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「とても」14.2％＋「やや」37.8％（n=543）</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外出を控えている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19.1％</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n=540。理由は足腰などの痛み55.4％、交通手段がない19.8％（n=101）</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移動手段：自動車（自分で運転）</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74.1％</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n=536</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移動手段：路線バス</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5.4％</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タクシー3.2％。公共交通の利用は極めて少ない</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社会参加と担い手（ニーズ調査）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組織的な活動への参加は限定的である一方、新たなグループ活動への参加意向は半数を超えています。ただし企画・運営（お世話役）として関わる意向は4割にとどまり、担い手の確保が課題です。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調査結果</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補足</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通いの場に参加していない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84.1％</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n=439。参加率は15.9％</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その他の活動に参加していない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学習89.0％・老人クラブ84.1％・町内会59.4％</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ボランティア77.6％・スポーツ76.1％</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グループ活動に参加者として参加したい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55.2％</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「是非」9.2％＋「参加してもよい」46.0％（n=543）</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企画・運営として参加したい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41.4％</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n=539。担い手の確保が課題</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趣味がある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68.1％</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生きがいがある55.3％（n=519）。両者には強い関連（p＜0.001）</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健康・こころ・認知症（ニーズ調査）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調査結果</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補足</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健康状態が良くない（あまり＋よくない）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23.6％</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n=551</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この1か月に気分が沈むことがあった</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34.7％</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物事に興味がわかなかった25.0％（n=541）</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物忘れが多いと感じる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41.8％</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今日が何月何日かわからない時がある30.3％（n=558）</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治療中の病気：高血圧</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54.2％</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目の病気22.2％・高脂血症18.0％・筋骨格18.0％・糖尿病17.6％（n=528）</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本人又は家族に認知症の症状がある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11.1％</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n=541</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認知症の相談窓口を知っている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47.7％</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n=547。知らない52.3％</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相談・支援体制（ニーズ調査）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家族・友人以外に相談できる相手が「いない」との回答は、世帯構成によって37.0％から43.5％の範囲にあり、統計的な有意差は認められませんでした。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調査結果</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補足</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家族・友人以外に相談できる相手がいない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38.8％</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n=484。世帯構成による差は小さい（37.0〜43.5％）</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心配事や愚痴を聞いてくれる人がいない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3.8％</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看病や世話をしてくれる人がいない3.6％（n=554）</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友人・知人と会う頻度がほとんどない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8.6％</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この1か月に会った友人・知人が0人 8.9％（n=540）</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在宅の要介護者と家族介護者の状況（在宅介護実態調査）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施設等への入所の申込みを最も強く分けているのは、要介護度の重さよりも家族介護者の有無でした。家族・親族の介護が「ない」層では56.9％が申込済みであり、介護が「ある」層（13.5％）の4.2倍で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調査結果</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補足</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施設等への入所・入居を申込済み</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33.8％（47件）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検討中14.4％を合わせて48.2％（n=139）</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家族・親族の介護が「ない」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45.8％（65件）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この層の56.9％が申込済み（介護が「ある」層は13.5％）</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単身世帯の施設申込済み</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69.4％（25／36件）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分類「その他（子との同居等）」の世帯18.6％の3.7倍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介護保険サービスを利用していない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58.7％（81件）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未利用層の48.8％が申込済み（利用層は14.3％・n=138）</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家族介護もサービス利用もない世帯</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50件（36.2％）</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両設問に有効回答があった138件が分母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主な介護者が離職した世帯</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9件（13.2％）</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離職・転職を含めると13件（19.1％・n=68）</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主な介護者の70歳以上</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42.1％（32件）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n=76。介護者の高齢化が進んでいる</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主な介護者の不安（最多）</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外出の付き添い・送迎等／認知症状への対応　ともに33.3％</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入浴・洗身26.7％、食事準備24.0％（n=75）</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調査から確認された構造的な課題</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転倒の経験・転倒への不安・外出控えが連鎖している。転倒予防と外出支援は一体で検討する必要がある。</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移動が自動車に大きく依存しており（自分で運転74.1％）、運転が困難になった後の移動手段が乏しい。</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グループ活動への参加意向は55.2％ある一方、企画・運営の担い手は41.4％にとどまる。</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相談窓口が届いていない。世帯構成によらず4割前後が家族・友人以外の相談相手を持たない。</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在宅の要介護者では、施設入所の申込みを最も強く分けているのは要介護度ではなく家族介護者の有無である。</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2E75B6"/>
          <w:sz w:val="48"/>
          <w:szCs w:val="48"/>
        </w:rPr>
        <w:t xml:space="preserve">第 3 章</w:t>
      </w:r>
    </w:p>
    <w:p>
      <w:pPr>
        <w:pBdr>
          <w:top w:val="single" w:color="2E75B6" w:sz="24"/>
          <w:bottom w:val="single" w:color="2E75B6" w:sz="24"/>
        </w:pBdr>
        <w:shd w:fill="DAE3F3" w:val="solid"/>
        <w:spacing w:after="240" w:before="0" w:line="320"/>
        <w:jc w:val="center"/>
      </w:pPr>
      <w:r>
        <w:rPr>
          <w:rFonts w:ascii="游ゴシック" w:cs="游ゴシック" w:eastAsia="游ゴシック" w:hAnsi="游ゴシック"/>
          <w:b/>
          <w:bCs/>
          <w:i w:val="false"/>
          <w:iCs w:val="false"/>
          <w:color w:val="2E75B6"/>
          <w:sz w:val="32"/>
          <w:szCs w:val="32"/>
        </w:rPr>
        <w:t xml:space="preserve">第9期計画の取組実績と評価</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pBdr>
          <w:bottom w:val="single" w:color="2E75B6" w:sz="18"/>
        </w:pBdr>
        <w:spacing w:after="160" w:before="360" w:line="320"/>
      </w:pPr>
      <w:r>
        <w:rPr>
          <w:rFonts w:ascii="游ゴシック" w:cs="游ゴシック" w:eastAsia="游ゴシック" w:hAnsi="游ゴシック"/>
          <w:b/>
          <w:bCs/>
          <w:i w:val="false"/>
          <w:iCs w:val="false"/>
          <w:color w:val="2E75B6"/>
          <w:sz w:val="26"/>
          <w:szCs w:val="26"/>
        </w:rPr>
        <w:t>3-1　第9期計画の体系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第9期計画策定の経緯</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第9期計画の体系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・基本理念：誰もが健やかに暮らせるまちづくり</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・基本方針1：健康づくりの推進（第2部 第1章）</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・基本方針3：地域生活を支援する取組の充実（第2部 第3章）</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・基本方針4：地域支援事業の充実（第2部 第4章）</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・基本方針5：介護給付・介護予防給付サービスの充実（第2部 第5章）</w:t>
      </w:r>
    </w:p>
    <w:p>
      <w:pPr>
        <w:pBdr>
          <w:bottom w:val="single" w:color="2E75B6" w:sz="18"/>
        </w:pBdr>
        <w:spacing w:after="160" w:before="360" w:line="320"/>
      </w:pPr>
      <w:r>
        <w:rPr>
          <w:rFonts w:ascii="游ゴシック" w:cs="游ゴシック" w:eastAsia="游ゴシック" w:hAnsi="游ゴシック"/>
          <w:b/>
          <w:bCs/>
          <w:i w:val="false"/>
          <w:iCs w:val="false"/>
          <w:color w:val="2E75B6"/>
          <w:sz w:val="26"/>
          <w:szCs w:val="26"/>
        </w:rPr>
        <w:t>3-2　主要施策の取組実績</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節では、第9期計画期間中（令和6〜8年度）に川崎町が実施した主要施策の取組実績を、第4章で示す第10期計画の6つの基本目標の体系に沿って整理します（第9期の基本方針との対応は4-2の表を参照）。各事業の数値実績（実施回数・対象者数・事業費等）の確定値は、別添「川崎町第9期介護保険事業計画 実績一覧（町記入用フォーマット）」（全7シート・35事業以上を網羅）への町担当課ご記入を経て、Ver.2.0で本表に反映します。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第9期取組実績の確定値は、別添『川崎町_第9期実績一覧_町記入用.xlsx』との連動で管理する。本素案Ver.1.10では事業項目と既知数値を提示する。</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【町確認・最新値】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第10期への課題：ユニバーサルサポーター制度の質的向上、後期高齢者（75歳以上1,675人）の急増に対応した介護予防の対象拡大、中山間地域居住者の通いの場参加への移動支援との連動が課題です。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C00000"/>
                <w:sz w:val="18"/>
                <w:szCs w:val="18"/>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R7.3 終了</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548235"/>
                <w:sz w:val="18"/>
                <w:szCs w:val="18"/>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548235"/>
                <w:sz w:val="18"/>
                <w:szCs w:val="18"/>
              </w:rPr>
              <w:t xml:space="preserve">R7.10 開始</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3-2-3　在宅生活継続の支援（基本目標3関連）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R3給付費約2,857万円（参考）</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施設サービス利用者134人のうち77.6%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介護サービスの質の確保、町外施設利用を含めた供給体制の整備、深刻化する介護人材不足への対応を進めました。特に住所地特例24人（令和7年6月時点）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特養（68人）・老健（66人）受給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R7.6時点。介護療養型・介護医療院は0人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受給者数で参考</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24人（R7.6時点）。町内施設縮小に伴い町外依存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R7.6＝24人</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R7=4名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R7=SC25名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R3年度実績：32,071,763円（総合事業565＋一般195＋包括/任意2,447万円）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548235"/>
                <w:sz w:val="18"/>
                <w:szCs w:val="18"/>
              </w:rPr>
              <w:t xml:space="preserve">R3＝3,207万円</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累計550名養成（地域福祉計画資料時点）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R7=550名累計</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累計73名養成。サポーター養成講座の講師役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R7=73名累計</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認知症の人と家族の交流・相談の場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認知症初期集中支援チーム・地域支援推進員による対応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新規(未整備)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チームオレンジ整備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認知症基本法対応の新規取組。第10期で整備を目標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R7＝未整備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R7＝未実施</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認知症基本法対応として、（1）チームオレンジの整備（令和8年9月1日提供の実績データでは令和6年度以降「整備」とされており、実態を確認中）、（2）認知症本人ミーティングの新規実施、（3）本人・家族の意見聴取（地域包括支援センター・国保川崎病院経由）、（4）KPIの3層構造化（成果指標・活動指標・体制指標）が必須となります。第6章で独立章として詳述しま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3-2-7　実績データ連動の枠組み</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本節の項目</w:t>
            </w:r>
          </w:p>
        </w:tc>
        <w:tc>
          <w:tcPr>
            <w:tcW w:type="pct" w:w="3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対応する実績一覧シート</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反映時期</w:t>
            </w:r>
          </w:p>
        </w:tc>
        <w:tc>
          <w:tcPr>
            <w:tcW w:type="pct" w:w="2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3-2-1 健康づくり・介護予防</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3-2-2 仕組みづくり</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3-2-3 在宅生活継続</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3-2-4 質の確保・人材</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2F5597"/>
                <w:sz w:val="18"/>
                <w:szCs w:val="18"/>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3-2-5 包括ケア深化</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3-2-6 認知症施策</w:t>
            </w:r>
          </w:p>
        </w:tc>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A（基本法対応・最重要）</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pBdr>
          <w:bottom w:val="single" w:color="2E75B6" w:sz="18"/>
        </w:pBdr>
        <w:spacing w:after="160" w:before="360" w:line="320"/>
      </w:pPr>
      <w:r>
        <w:rPr>
          <w:rFonts w:ascii="游ゴシック" w:cs="游ゴシック" w:eastAsia="游ゴシック" w:hAnsi="游ゴシック"/>
          <w:b/>
          <w:bCs/>
          <w:i w:val="false"/>
          <w:iCs w:val="false"/>
          <w:color w:val="2E75B6"/>
          <w:sz w:val="26"/>
          <w:szCs w:val="26"/>
        </w:rPr>
        <w:t>3-3　評価指標の達成状況</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あり、令和7年度が最も高く、令和8年度は37点下がりました。</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である一方、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pBdr>
          <w:bottom w:val="single" w:color="2E75B6" w:sz="18"/>
        </w:pBdr>
        <w:spacing w:after="160" w:before="360" w:line="320"/>
      </w:pPr>
      <w:r>
        <w:rPr>
          <w:rFonts w:ascii="游ゴシック" w:cs="游ゴシック" w:eastAsia="游ゴシック" w:hAnsi="游ゴシック"/>
          <w:b/>
          <w:bCs/>
          <w:i w:val="false"/>
          <w:iCs w:val="false"/>
          <w:color w:val="2E75B6"/>
          <w:sz w:val="26"/>
          <w:szCs w:val="26"/>
        </w:rPr>
        <w:t>3-4　第10期に向けた課題</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課題</w:t>
            </w:r>
          </w:p>
        </w:tc>
        <w:tc>
          <w:tcPr>
            <w:tcW w:type="pct" w:w="6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独居・夫婦のみに加え、未婚の子と高齢親の同居世帯での介護負担が課題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在宅の認定者のうち家族介護もサービス利用もない世帯が50件（36.2％）。家族介護者の不在は施設入所の申込みと強く関連している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C55A11"/>
          <w:sz w:val="48"/>
          <w:szCs w:val="48"/>
        </w:rPr>
        <w:t xml:space="preserve">第 4 章</w:t>
      </w:r>
    </w:p>
    <w:p>
      <w:pPr>
        <w:pBdr>
          <w:top w:val="single" w:color="C55A11" w:sz="24"/>
          <w:bottom w:val="single" w:color="C55A11" w:sz="24"/>
        </w:pBdr>
        <w:shd w:fill="FCE4D6" w:val="solid"/>
        <w:spacing w:after="240" w:before="0" w:line="320"/>
        <w:jc w:val="center"/>
      </w:pPr>
      <w:r>
        <w:rPr>
          <w:rFonts w:ascii="游ゴシック" w:cs="游ゴシック" w:eastAsia="游ゴシック" w:hAnsi="游ゴシック"/>
          <w:b/>
          <w:bCs/>
          <w:i w:val="false"/>
          <w:iCs w:val="false"/>
          <w:color w:val="C55A11"/>
          <w:sz w:val="32"/>
          <w:szCs w:val="32"/>
        </w:rPr>
        <w:t xml:space="preserve">計画の基本理念と基本目標</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pBdr>
          <w:bottom w:val="single" w:color="C55A11" w:sz="18"/>
        </w:pBdr>
        <w:spacing w:after="160" w:before="360" w:line="320"/>
      </w:pPr>
      <w:r>
        <w:rPr>
          <w:rFonts w:ascii="游ゴシック" w:cs="游ゴシック" w:eastAsia="游ゴシック" w:hAnsi="游ゴシック"/>
          <w:b/>
          <w:bCs/>
          <w:i w:val="false"/>
          <w:iCs w:val="false"/>
          <w:color w:val="C55A11"/>
          <w:sz w:val="26"/>
          <w:szCs w:val="26"/>
        </w:rPr>
        <w:t>4-1　基本理念（第9期踏襲）</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pBdr>
          <w:bottom w:val="single" w:color="C55A11" w:sz="4"/>
        </w:pBdr>
        <w:shd w:fill="FCE4D6" w:val="solid"/>
        <w:spacing w:after="120" w:before="220" w:line="300"/>
      </w:pPr>
      <w:r>
        <w:rPr>
          <w:rFonts w:ascii="游ゴシック" w:cs="游ゴシック" w:eastAsia="游ゴシック" w:hAnsi="游ゴシック"/>
          <w:b/>
          <w:bCs/>
          <w:i w:val="false"/>
          <w:iCs w:val="false"/>
          <w:color w:val="C55A11"/>
          <w:sz w:val="22"/>
          <w:szCs w:val="22"/>
        </w:rPr>
        <w:t xml:space="preserve">　▌ 基本理念（案）</w:t>
      </w:r>
    </w:p>
    <w:p>
      <w:pPr>
        <w:pBdr>
          <w:top w:val="double" w:color="C55A11" w:sz="18"/>
          <w:bottom w:val="double" w:color="C55A11" w:sz="18"/>
        </w:pBdr>
        <w:shd w:fill="FCE4D6" w:val="solid"/>
        <w:spacing w:after="240" w:before="240" w:line="360"/>
        <w:jc w:val="center"/>
      </w:pPr>
      <w:r>
        <w:rPr>
          <w:rFonts w:ascii="游ゴシック" w:cs="游ゴシック" w:eastAsia="游ゴシック" w:hAnsi="游ゴシック"/>
          <w:b/>
          <w:bCs/>
          <w:i w:val="false"/>
          <w:iCs w:val="false"/>
          <w:color w:val="C55A11"/>
          <w:sz w:val="32"/>
          <w:szCs w:val="32"/>
        </w:rPr>
        <w:t xml:space="preserve">誰もが健やかに暮らせるまちづくり</w:t>
      </w:r>
    </w:p>
    <w:p>
      <w:pPr>
        <w:pBdr>
          <w:bottom w:val="single" w:color="C55A11" w:sz="4"/>
        </w:pBdr>
        <w:shd w:fill="FCE4D6" w:val="solid"/>
        <w:spacing w:after="120" w:before="220" w:line="300"/>
      </w:pPr>
      <w:r>
        <w:rPr>
          <w:rFonts w:ascii="游ゴシック" w:cs="游ゴシック" w:eastAsia="游ゴシック" w:hAnsi="游ゴシック"/>
          <w:b/>
          <w:bCs/>
          <w:i w:val="false"/>
          <w:iCs w:val="false"/>
          <w:color w:val="C55A11"/>
          <w:sz w:val="22"/>
          <w:szCs w:val="22"/>
        </w:rPr>
        <w:t xml:space="preserve">　▌ サブタイトル（第10期で新たに付加）</w:t>
      </w:r>
    </w:p>
    <w:p>
      <w:pPr>
        <w:spacing w:after="200" w:before="200" w:line="320"/>
        <w:jc w:val="center"/>
      </w:pPr>
      <w:r>
        <w:rPr>
          <w:rFonts w:ascii="游ゴシック" w:cs="游ゴシック" w:eastAsia="游ゴシック" w:hAnsi="游ゴシック"/>
          <w:b w:val="false"/>
          <w:bCs w:val="false"/>
          <w:i/>
          <w:iCs/>
          <w:color w:val="C55A11"/>
          <w:sz w:val="26"/>
          <w:szCs w:val="26"/>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第10期計画では、令和6年1月に施行された認知症基本法を踏まえ、認知症があっても誰もが地域で自分らしく暮らせる共生社会の実現を強調するサブタイトルを新設します。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基本理念の本文・サブタイトル案は、第1回策定委員会（令和8年9月2日）でご審議いただき、確定します。</w:t>
      </w:r>
    </w:p>
    <w:p>
      <w:pPr>
        <w:pBdr>
          <w:bottom w:val="single" w:color="C55A11" w:sz="18"/>
        </w:pBdr>
        <w:spacing w:after="160" w:before="360" w:line="320"/>
      </w:pPr>
      <w:r>
        <w:rPr>
          <w:rFonts w:ascii="游ゴシック" w:cs="游ゴシック" w:eastAsia="游ゴシック" w:hAnsi="游ゴシック"/>
          <w:b/>
          <w:bCs/>
          <w:i w:val="false"/>
          <w:iCs w:val="false"/>
          <w:color w:val="C55A11"/>
          <w:sz w:val="26"/>
          <w:szCs w:val="26"/>
        </w:rPr>
        <w:t>4-2　基本目標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は5つの基本方針により体系化されていました。第10期計画では、その考え方を継承したうえで、施策の整理の単位を「基本目標」に改め、認知症基本法への対応として認知症施策を基本目標6として新たに独立させ、次の6区分に再構成します。第9期の基本方針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第9期計画の基本方針</w:t>
            </w:r>
          </w:p>
        </w:tc>
        <w:tc>
          <w:tcPr>
            <w:tcW w:type="pct" w:w="26%"/>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第10期計画の基本目標</w:t>
            </w:r>
          </w:p>
        </w:tc>
        <w:tc>
          <w:tcPr>
            <w:tcW w:type="pct" w:w="66%"/>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考え方</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介護予防を明示して継承</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　高齢者が安心して暮らせる</w:t>
            </w:r>
          </w:p>
          <w:p>
            <w:pPr>
              <w:spacing w:after="40" w:before="40" w:line="260"/>
              <w:jc w:val="center"/>
            </w:pPr>
            <w:r>
              <w:rPr>
                <w:rFonts w:ascii="游ゴシック" w:cs="游ゴシック" w:eastAsia="游ゴシック" w:hAnsi="游ゴシック"/>
                <w:b/>
                <w:bCs/>
                <w:i w:val="false"/>
                <w:iCs w:val="false"/>
                <w:color w:val="000000"/>
                <w:sz w:val="18"/>
                <w:szCs w:val="18"/>
              </w:rPr>
              <w:t xml:space="preserve">　　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2　高齢者が安心して暮らせる</w:t>
            </w:r>
          </w:p>
          <w:p>
            <w:pPr>
              <w:spacing w:after="40" w:before="40" w:line="260"/>
              <w:jc w:val="left"/>
            </w:pPr>
            <w:r>
              <w:rPr>
                <w:rFonts w:ascii="游ゴシック" w:cs="游ゴシック" w:eastAsia="游ゴシック" w:hAnsi="游ゴシック"/>
                <w:b/>
                <w:bCs/>
                <w:i w:val="false"/>
                <w:iCs w:val="false"/>
                <w:color w:val="000000"/>
                <w:sz w:val="18"/>
                <w:szCs w:val="18"/>
              </w:rPr>
              <w:t xml:space="preserve">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見守り・移動支援・住まいを含めて継承</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在宅生活の継続という観点で再構成</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介護予防・生活支援・包括的支援の各事業を</w:t>
            </w:r>
          </w:p>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目的別に配置</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　介護給付・介護予防給付</w:t>
            </w:r>
          </w:p>
          <w:p>
            <w:pPr>
              <w:spacing w:after="40" w:before="40" w:line="260"/>
              <w:jc w:val="center"/>
            </w:pPr>
            <w:r>
              <w:rPr>
                <w:rFonts w:ascii="游ゴシック" w:cs="游ゴシック" w:eastAsia="游ゴシック" w:hAnsi="游ゴシック"/>
                <w:b/>
                <w:bCs/>
                <w:i w:val="false"/>
                <w:iCs w:val="false"/>
                <w:color w:val="000000"/>
                <w:sz w:val="18"/>
                <w:szCs w:val="18"/>
              </w:rP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4　介護サービスの質の確保と</w:t>
            </w:r>
          </w:p>
          <w:p>
            <w:pPr>
              <w:spacing w:after="40" w:before="40" w:line="260"/>
              <w:jc w:val="left"/>
            </w:pPr>
            <w:r>
              <w:rPr>
                <w:rFonts w:ascii="游ゴシック" w:cs="游ゴシック" w:eastAsia="游ゴシック" w:hAnsi="游ゴシック"/>
                <w:b/>
                <w:bCs/>
                <w:i w:val="false"/>
                <w:iCs w:val="false"/>
                <w:color w:val="000000"/>
                <w:sz w:val="18"/>
                <w:szCs w:val="18"/>
              </w:rPr>
              <w:t xml:space="preserve">　　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供給体制・人材確保を加えて再構成</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（基本方針4・5に含まれていた</w:t>
            </w:r>
          </w:p>
          <w:p>
            <w:pPr>
              <w:spacing w:after="40" w:before="40" w:line="260"/>
              <w:jc w:val="center"/>
            </w:pPr>
            <w:r>
              <w:rPr>
                <w:rFonts w:ascii="游ゴシック" w:cs="游ゴシック" w:eastAsia="游ゴシック" w:hAnsi="游ゴシック"/>
                <w:b/>
                <w:bCs/>
                <w:i w:val="false"/>
                <w:iCs w:val="false"/>
                <w:color w:val="000000"/>
                <w:sz w:val="18"/>
                <w:szCs w:val="18"/>
              </w:rPr>
              <w:t xml:space="preserve">　　包括的支援）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地域包括ケアの深化を独立させた</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（基本方針3に含まれていた</w:t>
            </w:r>
          </w:p>
          <w:p>
            <w:pPr>
              <w:spacing w:after="40" w:before="40" w:line="260"/>
              <w:jc w:val="center"/>
            </w:pPr>
            <w:r>
              <w:rPr>
                <w:rFonts w:ascii="游ゴシック" w:cs="游ゴシック" w:eastAsia="游ゴシック" w:hAnsi="游ゴシック"/>
                <w:b/>
                <w:bCs/>
                <w:i w:val="false"/>
                <w:iCs w:val="false"/>
                <w:color w:val="000000"/>
                <w:sz w:val="18"/>
                <w:szCs w:val="18"/>
              </w:rPr>
              <w:t xml:space="preserve">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認知症基本法を踏まえ独立章として新設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基本目標</w:t>
            </w:r>
          </w:p>
        </w:tc>
        <w:tc>
          <w:tcPr>
            <w:tcW w:type="pct" w:w="78%"/>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1．健康づくりと
　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健康寿命の延伸・フレイル予防・通いの場の充実・口腔と栄養の支援を推進し、高齢者がいつまでも元気に生活できる地域づくりを進めます。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2．高齢者が安心して
　暮らせる仕組みづくり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見守り・地域支え合い・移動支援・住まいの確保等、独居高齢者・高齢者世帯・老老介護世帯が安心して暮らせる仕組みを整えます。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在宅医療・介護連携、家族介護者支援、緊急時対応、住宅改修等により、住み慣れた自宅・地域での生活継続を支援します。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4．介護サービスの
　質の確保と提供体制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介護サービスの質の確保、町外施設利用も含めた供給体制の整備、介護人材の確保・育成を推進します。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5．地域包括ケアシステム
　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地域包括支援センターを中心に、医療・介護・予防・住まい・生活支援を一体的に提供する地域包括ケアシステムをさらに深化させます。</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6．認知症施策の
　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認知症基本法に基づき、認知症の人本人の意思を尊重し、認知症の人もそうでない人もともに暮らせる共生社会の実現を目指します（第6章で独立章として位置付け）。</w:t>
            </w:r>
          </w:p>
        </w:tc>
      </w:tr>
    </w:tbl>
    <w:p>
      <w:pPr>
        <w:pBdr>
          <w:bottom w:val="single" w:color="C55A11" w:sz="18"/>
        </w:pBdr>
        <w:spacing w:after="160" w:before="360" w:line="320"/>
      </w:pPr>
      <w:r>
        <w:rPr>
          <w:rFonts w:ascii="游ゴシック" w:cs="游ゴシック" w:eastAsia="游ゴシック" w:hAnsi="游ゴシック"/>
          <w:b/>
          <w:bCs/>
          <w:i w:val="false"/>
          <w:iCs w:val="false"/>
          <w:color w:val="C55A11"/>
          <w:sz w:val="26"/>
          <w:szCs w:val="26"/>
        </w:rPr>
        <w:t>4-3　計画の重点ポイント（4つの重点）</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計画では、上記基本目標を達成するため、以下の4つの重点ポイントを設定します。これらは、川崎町固有の課題（後期高齢者の急増・町外施設依存・移動支援の再構築・認知症基本法対応・8050問題）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重点</w:t>
            </w:r>
          </w:p>
        </w:tc>
        <w:tc>
          <w:tcPr>
            <w:tcW w:type="pct" w:w="26%"/>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テーマ</w:t>
            </w:r>
          </w:p>
        </w:tc>
        <w:tc>
          <w:tcPr>
            <w:tcW w:type="pct" w:w="66%"/>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対応する基本目標・関連施策</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認知症基本法対応
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基本目標6を新設し、独立章（第6章）として位置付け。本人意見反映・チームオレンジ整備・認知症カフェ充実</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移動支援の再構築
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基本目標2。タクシー助成終了後の社協・NPO移送＋デマンドバスの周知強化、施設偏在への対応</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地域包括ケアの深化
と家族介護者支援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基本目標3・5。8050問題・老老介護への対応、介護者レスパイト、包括センター体制強化</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広域連携と
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基本目標4。みやぎ県南中核病院等との広域医療連携、住所地特例を含めた施設供給見込量</w:t>
            </w:r>
          </w:p>
        </w:tc>
      </w:tr>
    </w:tbl>
    <w:p>
      <w:pPr>
        <w:pBdr>
          <w:bottom w:val="single" w:color="C55A11" w:sz="18"/>
        </w:pBdr>
        <w:spacing w:after="160" w:before="360" w:line="320"/>
      </w:pPr>
      <w:r>
        <w:rPr>
          <w:rFonts w:ascii="游ゴシック" w:cs="游ゴシック" w:eastAsia="游ゴシック" w:hAnsi="游ゴシック"/>
          <w:b/>
          <w:bCs/>
          <w:i w:val="false"/>
          <w:iCs w:val="false"/>
          <w:color w:val="C55A11"/>
          <w:sz w:val="26"/>
          <w:szCs w:val="26"/>
        </w:rPr>
        <w:t>4-4　計画の体系図</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本計画の基本理念・基本目標・施策の体系は以下のとおりです。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C55A11" w:val="solid"/>
          </w:tcPr>
          <w:p>
            <w:pPr>
              <w:spacing w:after="100" w:before="100"/>
              <w:jc w:val="center"/>
            </w:pPr>
            <w:r>
              <w:rPr>
                <w:rFonts w:ascii="游ゴシック" w:cs="游ゴシック" w:eastAsia="游ゴシック" w:hAnsi="游ゴシック"/>
                <w:b/>
                <w:bCs/>
                <w:i w:val="false"/>
                <w:iCs w:val="false"/>
                <w:color w:val="FFFFFF"/>
                <w:sz w:val="22"/>
                <w:szCs w:val="22"/>
              </w:rPr>
              <w:t xml:space="preserve">【基本理念】誰もが健やかに暮らせるまちづくり</w:t>
            </w:r>
          </w:p>
        </w:tc>
      </w:tr>
      <w:tr>
        <w:tc>
          <w:tcPr>
            <w:shd w:fill="FCE4D6" w:val="solid"/>
          </w:tcPr>
          <w:p>
            <w:pPr>
              <w:spacing w:after="80" w:before="80"/>
              <w:jc w:val="center"/>
            </w:pPr>
            <w:r>
              <w:rPr>
                <w:rFonts w:ascii="游ゴシック" w:cs="游ゴシック" w:eastAsia="游ゴシック" w:hAnsi="游ゴシック"/>
                <w:b w:val="false"/>
                <w:bCs w:val="false"/>
                <w:i/>
                <w:iCs/>
                <w:color w:val="C55A11"/>
                <w:sz w:val="20"/>
                <w:szCs w:val="20"/>
              </w:rPr>
              <w:t xml:space="preserve">〜 認知症になっても誰もが自分らしく暮らせる地域共生社会の実現 〜</w:t>
            </w:r>
          </w:p>
        </w:tc>
      </w:tr>
      <w:tr>
        <w:tc>
          <w:p>
            <w:pPr>
              <w:spacing w:after="80" w:before="80"/>
              <w:jc w:val="center"/>
            </w:pPr>
            <w:r>
              <w:rPr>
                <w:rFonts w:ascii="游ゴシック" w:cs="游ゴシック" w:eastAsia="游ゴシック" w:hAnsi="游ゴシック"/>
                <w:b/>
                <w:bCs/>
                <w:i w:val="false"/>
                <w:iCs w:val="false"/>
                <w:color w:val="595959"/>
                <w:sz w:val="24"/>
                <w:szCs w:val="24"/>
              </w:rPr>
              <w:t xml:space="preserve">↓</w:t>
            </w:r>
          </w:p>
        </w:tc>
      </w:tr>
      <w:tr>
        <w:tc>
          <w:tcPr>
            <w:shd w:fill="DAE3F3" w:val="solid"/>
          </w:tcPr>
          <w:p>
            <w:pPr>
              <w:spacing w:after="80" w:before="80"/>
              <w:jc w:val="center"/>
            </w:pPr>
            <w:r>
              <w:rPr>
                <w:rFonts w:ascii="游ゴシック" w:cs="游ゴシック" w:eastAsia="游ゴシック" w:hAnsi="游ゴシック"/>
                <w:b/>
                <w:bCs/>
                <w:i w:val="false"/>
                <w:iCs w:val="false"/>
                <w:color w:val="1F3864"/>
                <w:sz w:val="22"/>
                <w:szCs w:val="22"/>
              </w:rPr>
              <w:t xml:space="preserve">【6つの基本目標】</w:t>
            </w:r>
          </w:p>
        </w:tc>
      </w:tr>
    </w:tbl>
    <w:p>
      <w:pPr>
        <w:spacing w:after="80" w:before="80"/>
      </w:pPr>
      <w:r>
        <w:rPr>
          <w:rFonts w:ascii="游ゴシック" w:cs="游ゴシック" w:eastAsia="游ゴシック" w:hAnsi="游ゴシック"/>
          <w:b w:val="false"/>
          <w:bCs w:val="false"/>
          <w:i w:val="false"/>
          <w:iCs w:val="false"/>
          <w:color w:val="000000"/>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健康づくりと介護予防の推進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5-1</w:t>
            </w:r>
          </w:p>
        </w:tc>
      </w:tr>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高齢者が安心して暮らせる仕組みづくり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5-2</w:t>
            </w:r>
          </w:p>
        </w:tc>
      </w:tr>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在宅生活の継続支援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5-3</w:t>
            </w:r>
          </w:p>
        </w:tc>
      </w:tr>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介護サービスの質の確保と提供体制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5-4</w:t>
            </w:r>
          </w:p>
        </w:tc>
      </w:tr>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地域包括ケアシステムの深化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5-5</w:t>
            </w:r>
          </w:p>
        </w:tc>
      </w:tr>
      <w:tr>
        <w:tc>
          <w:tcPr>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認知症施策の総合的推進（新設・独立章）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 第6章</w:t>
            </w:r>
          </w:p>
        </w:tc>
      </w:tr>
    </w:tbl>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7030A0"/>
          <w:sz w:val="48"/>
          <w:szCs w:val="48"/>
        </w:rPr>
        <w:t xml:space="preserve">第 5 章</w:t>
      </w:r>
    </w:p>
    <w:p>
      <w:pPr>
        <w:pBdr>
          <w:top w:val="single" w:color="7030A0" w:sz="24"/>
          <w:bottom w:val="single" w:color="7030A0" w:sz="24"/>
        </w:pBdr>
        <w:shd w:fill="E4D6F0" w:val="solid"/>
        <w:spacing w:after="240" w:before="0" w:line="320"/>
        <w:jc w:val="center"/>
      </w:pPr>
      <w:r>
        <w:rPr>
          <w:rFonts w:ascii="游ゴシック" w:cs="游ゴシック" w:eastAsia="游ゴシック" w:hAnsi="游ゴシック"/>
          <w:b/>
          <w:bCs/>
          <w:i w:val="false"/>
          <w:iCs w:val="false"/>
          <w:color w:val="7030A0"/>
          <w:sz w:val="32"/>
          <w:szCs w:val="32"/>
        </w:rPr>
        <w:t xml:space="preserve">施策の展開</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章では、第4章で示した6つの基本目標のうち、認知症施策（基本目標6）を除く基本目標1〜5に対応する施策を、施策体系・主な事業・成果指標（KPI）の3層構造で整理します。認知症施策（基本目標6）は第6章で独立章として詳述し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各施策の住民ニーズ根拠は、令和8年6〜7月に実施した2調査（一般高齢者576件・要支援要介護認定者142件）の結果によります。調査結果の全体像は第2章2-6を参照してください。</w:t>
      </w:r>
    </w:p>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5-1　健康づくり・介護予防の推進（基本目標1）</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が生きがいもあると回答しており（趣味が思いつかない人では14.5％）、趣味活動を通じた通いの場づくりが介護予防と生きがいづくりの双方に資すると考えられ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元気まんてん教室・スマイル教室・パドル運動等の継続実施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通いの場（サロン）の展開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ユニバーサルサポーター制度（介護予防サロン84名）による全町展開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社協・サポーター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フレイル予防の推進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運動・栄養・社会参加の3要素を組み合わせた予防プログラム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口腔・栄養の支援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オーラルフレイル予防・栄養指導・配食サービス（独自）</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町・栄養士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特定健診・後期高齢者健診の受診率向上、要介護リスク早期発見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町・国保川崎病院</w:t>
            </w:r>
          </w:p>
        </w:tc>
      </w:tr>
    </w:tbl>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指標</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現状値</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目標値（R11）</w:t>
            </w:r>
          </w:p>
        </w:tc>
        <w:tc>
          <w:tcPr>
            <w:tcW w:type="pct" w:w="22%"/>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町独自指標</w:t>
            </w:r>
          </w:p>
        </w:tc>
      </w:tr>
    </w:tbl>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5-2　高齢者が安心して暮らせるまちづくり（基本目標2）</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地域見守り体制の強化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ふれあいネットワーク活動員15名・協力員130名による地域見守り、独居高齢者・高齢者世帯への定期訪問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社協・民生委員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緊急通報装置の充実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独居高齢者・高齢者夫婦世帯への緊急通報装置の設置・運用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町・社協</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移動支援の再構築【重点】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社協・NPO福祉移送、デマンドバス、町民バスの3層構造を住民に分かりやすく周知。地域振興課・町民生活課・社協・NPOと連携した利用情報の一元化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町関係課・社協・NPO・バス事業者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高齢者世帯への独自支援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高齢者紙おむつ等支給・高齢者世帯エアコン購入支援（R7.10〜）・人工透析患者通院交通費助成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住まいの確保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高齢者向け住宅情報の提供、サ高住・有料老人ホーム等の情報整理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町・地域包括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8050問題・老老介護への対応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民生委員・地域包括による訪問把握、重層的支援体制（地域福祉計画と連動）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町・包括・民生委員</w:t>
            </w:r>
          </w:p>
        </w:tc>
      </w:tr>
    </w:tbl>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指標</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現状値</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目標値（R11）</w:t>
            </w:r>
          </w:p>
        </w:tc>
        <w:tc>
          <w:tcPr>
            <w:tcW w:type="pct" w:w="22%"/>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一般高齢者調査</w:t>
            </w:r>
          </w:p>
        </w:tc>
      </w:tr>
    </w:tbl>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5-3　在宅生活継続の支援（基本目標3）</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申込みの有無を最も強く分けていたのは要介護度の重さではなく家族介護者の有無であり、家族・親族の介護が「ない」層では56.9％が申込済み（介護が「ある」層は13.5％）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家族介護者支援については、独居高齢者・高齢者世帯・老老介護世帯の増加、未婚の子と高齢親が同居する8050世帯の課題を踏まえ、家族介護教室・介護相談・レスパイト（短期入所）活用支援を充実させます。特に、家族介護による介護離職を防ぐため、町内事業所との連携による両立支援・相談体制の整備を新規取組として位置付け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在宅医療・介護連携推進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国保川崎病院を中心とした在宅医療・介護連携、退院支援、ACP普及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町・国保川崎病院</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広域医療連携【重点】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みやぎ県南中核病院（大河原）・刈田綜合病院（白石）等との連携、夜間救急・専門医療への広域対応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町・国保病院・連携先病院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家族介護教室・介護相談・レスパイト（短期入所）の活用支援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介護離職防止【重点】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8050・老老介護世帯における介護と仕事の両立支援、町内事業所との連携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住宅改修・福祉用具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自宅での生活継続に必要な改修・用具の利用支援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bl>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5-4　介護サービスの質の確保と人材確保（基本目標4）</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介護サービスの質の確保、町外施設利用も含めた供給体制の整備、深刻化する介護人材不足への対応を推進します。本町の介護サービス供給体制は、特別養護老人ホーム1施設・介護老人保健施設1施設・小規模多機能型居宅介護等の地域密着型サービスが中心ですが、これらが役場周辺に偏在しており、中山間部住民にとってアクセスの障壁が大きい状況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住所地特例該当者24人（令和7年6月時点）が示すとおり、町外施設（柴田町・大河原町・仙台市等）への依存も常態化しています。町外施設の建設計画情報や受入余地の把握、住所地特例該当者の所在自治体内訳の把握を進め、サービス見込量算定と広域連携の根拠データとして活用します。新たな町内施設の整備は財政的に困難な状況のため、町外施設との連携深化と移動支援との連動が現実的な方策となり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人材確保については、全国的・全県的に深刻化する課題であり、本町独自の対応には限界があります。宮城県社会福祉協議会の介護福祉士等修学資金貸付制度等の県事業を積極的に周知し、町内事業所と連携した職場体験・人材定着支援に取り組みます。あわせて、ICT・介護ロボット・センサー等の導入支援により、限られた人材で質の高いサービスを提供できる体制を後押しします。なお、在宅介護実態調査では、主な介護者の70歳以上が42.1％（n=76）を占め、介護を主な理由として過去1年間に離職・転職が生じた世帯が13件（19.1％・n=68）ありました。家族介護者の高齢化と就労との両立は、介護人材の確保と並ぶ地域の担い手の課題で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介護サービスの質の確保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町内事業所への研修・指導、苦情対応、ケアプラン点検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町外施設・住所地特例の整理【重点】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町内施設縮小・町外施設利用（住所地特例24人）の実態を踏まえた供給見込みの整備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福祉施設の偏在対応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役場周辺への施設偏在を踏まえた、地域別アクセスの確保・移動支援との連動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宮城県社会福祉協議会の修学資金貸付制度の周知、町内事業所での職場体験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町・県社協・事業所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介護ロボット・ICT導入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介護ロボット・ICT導入の促進、人材不足の補完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町・事業所</w:t>
            </w:r>
          </w:p>
        </w:tc>
      </w:tr>
    </w:tbl>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5-5　地域包括ケアシステムの深化（基本目標5）</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地域包括支援センターを中心に、医療・介護・予防・住まい・生活支援を一体的に提供する地域包括ケアシステムを、川崎町の特性（中山間・7地区・後期高齢者急増）に即して深化させます。地域包括支援センターは町社会福祉協議会が運営し、保健師3名と認定調査員1名の体制で総合相談・権利擁護・包括的継続的ケアマネジメント・介護予防ケアマネジメントを担っていますが、認定調査業務との兼務で業務量が過多となっており、第10期では体制強化が課題となり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自立支援型地域ケア会議は、要支援・要介護認定者の自立支援を多職種で検討する仕組みとして既に開催実績がありますが、第10期では多職種連携（医療・介護・地域）の深化、ケース検討から地域課題抽出への展開を重点化します。生活支援コーディネーター（SC）25名・第1層協議体・第2層協議体による生活支援体制整備事業も継続し、ユニバーサルサポーター制度との連動で地域支え合いを促進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地域包括ケアシステムの深化は、令和8年度から始まる地域福祉計画・障害者計画との3計画同時策定の機会を活かし、高齢×障害×子ども×生活困窮の重層的支援体制整備事業に接続することで、複合的な課題を抱える世帯（8050問題、ヤングケアラー、ダブルケア等）への包括的支援につなげます。今回の調査では、家族・友人以外に相談できる相手が「いない」との回答が38.8％（n=484）に上り、その割合は世帯構成によって37.0％から43.5％の範囲と差が小さく、統計的な有意差も認められませんでした。相談窓口の不在は独居かどうかによらない共通の課題であり、対象を絞らない全戸的な周知と、健診・介護予防事業等の接点を活用した働きかけが有効と考えられます。地域福祉計画・障害者計画はジャパン総研が策定担当のため、計画間の整合確認と連動施策の調整を継続的に行い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地域包括支援センターの体制強化【重点】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保健師3＋認定調査1の4名体制（実質3名）の強化。認定調査の負担軽減、ケアマネジャー配置の充実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生活支援体制整備の充実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生活支援コーディネーター（SC）25名による地域づくり、ユニバーサルサポーターとの連動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町・社協・SC</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重層的支援体制（3計画連動）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地域福祉計画・障害者計画と連動した重層的支援体制、複合課題世帯への対応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ケアプラン点検・自立支援に資する地域ケア会議の継続実施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権利擁護（成年後見・虐待対応）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成年後見制度の利用促進、高齢者虐待防止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bl>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成果指標（KPI）まとめ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施策分野</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主要KPI候補</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包括実績</w:t>
            </w:r>
          </w:p>
        </w:tc>
      </w:tr>
    </w:tbl>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9333B0"/>
          <w:sz w:val="48"/>
          <w:szCs w:val="48"/>
        </w:rPr>
        <w:t xml:space="preserve">第 6 章</w:t>
      </w:r>
    </w:p>
    <w:p>
      <w:pPr>
        <w:pBdr>
          <w:top w:val="single" w:color="9333B0" w:sz="24"/>
          <w:bottom w:val="single" w:color="9333B0" w:sz="24"/>
        </w:pBdr>
        <w:shd w:fill="EAD5F0" w:val="solid"/>
        <w:spacing w:after="240" w:before="0" w:line="320"/>
        <w:jc w:val="center"/>
      </w:pPr>
      <w:r>
        <w:rPr>
          <w:rFonts w:ascii="游ゴシック" w:cs="游ゴシック" w:eastAsia="游ゴシック" w:hAnsi="游ゴシック"/>
          <w:b/>
          <w:bCs/>
          <w:i w:val="false"/>
          <w:iCs w:val="false"/>
          <w:color w:val="9333B0"/>
          <w:sz w:val="32"/>
          <w:szCs w:val="32"/>
        </w:rPr>
        <w:t xml:space="preserve">認知症施策推進計画</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本章は、令和6年1月に施行された「共生社会の実現を推進するための認知症基本法」第14条に基づく市町村認知症施策推進計画として、本計画に独立章として位置付けるものです。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基本法は、認知症の人やその家族が暮らしやすい共生社会の実現を目的とし、市町村に対して認知症施策推進計画の策定を努力義務として課しています。川崎町では、第10期計画期間（令和9〜11年度）に向けて、認知症施策を独立章として位置付けることで、認知症基本法の理念・基本的施策に対応した包括的な計画体系を構築します。</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6-1　認知症基本法と川崎町の対応方針</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認知症基本法の概要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が掲げられています（第3条）。</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川崎町の対応方針</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第10期計画では、認知症基本法対応として基本目標6を新設し、独立章（第6章）として認知症施策推進計画を位置付ける。</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川崎町では、第10期計画期間（R9〜R11）を通じて、以下の方針で認知症施策を推進します。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本人意見の反映（基本法第3条）：認知症本人・家族の意見を地域包括支援センター及び国保川崎病院経由で聴取し、計画・施策に反映</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7基本的施策の体系化：基本法第15〜21条の7基本的施策に対応した町施策の体系化</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KPIの3層構造化：プロセス（活動量）・アウトプット（成果物）・アウトカム（住民の変化）の3層でKPIを設定</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6-2　認知症施策の体系（7基本的施策）</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認知症基本法第15条から第21条までの7基本的施策と、川崎町の対応施策を以下のとおり対応付けます。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条文</w:t>
            </w:r>
          </w:p>
        </w:tc>
        <w:tc>
          <w:tcPr>
            <w:tcW w:type="pct" w:w="2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基本的施策</w:t>
            </w:r>
          </w:p>
        </w:tc>
        <w:tc>
          <w:tcPr>
            <w:tcW w:type="pct" w:w="6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川崎町の対応</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認知症の人に関する国民の理解の増進等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認知症サポーター養成講座の継続（累計550名）。企業・学校サポーター養成の拡大。世界アルツハイマー月間（9月）に合わせた啓発</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認知症の人の生活におけるバリアフリー化の推進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公共施設・交通・買い物環境におけるバリアフリー化、認知症の人にやさしい地域づくり</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認知症の人の社会参加の機会の確保等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認知症カフェ「喫茶みかん」の運営継続。認知症本人ミーティング・ピアサポート活動の場の確保</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認知症の人の意思決定の支援及び権利利益の保護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成年後見制度の利用促進、日常生活自立支援事業の活用、意思決定支援研修の実施</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保健医療・福祉サービスの提供体制の整備等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認知症初期集中支援チームの強化、認知症地域支援推進員の配置、国保川崎病院との連携強化</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相談体制の整備等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地域包括支援センター（社協運営）における認知症相談窓口の充実、もの忘れ相談の継続</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研究等の推進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認知症本人・家族の意見聴取（基本法第3条対応）、認知症施策への当事者参画</w:t>
            </w:r>
          </w:p>
        </w:tc>
      </w:tr>
    </w:tbl>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6-3　重点施策とKPI</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基本法の7基本的施策（第15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重点施策（5本柱）</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J-1（サポーター拡大）とJ-3（認知症カフェ等）は既存施策の質的拡充、J-2（チームオレンジ）とJ-3（本人ミーティング）の一部は基本法対応の新規整備、J-4（早期発見・対応）とJ-5（医療連携）は本町の医療資源（国民健康保険川崎病院）を活かした体制強化として位置付け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2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重点施策</w:t>
            </w:r>
          </w:p>
        </w:tc>
        <w:tc>
          <w:tcPr>
            <w:tcW w:type="pct" w:w="64%"/>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累計550名のサポーターを基盤に、企業・学校サポーターを増やし、活動の質を向上。キャラバンメイト（累計73名）の活動継続</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チームオレンジの整備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認知症サポーターのうち、地域でステップアップしたメンバーによるチームオレンジを整備。本人・家族支援を実践</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認知症カフェ「喫茶みかん」の運営継続。認知症本人ミーティングの新設</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認知症初期集中支援チームの強化、認知症地域支援推進員の活動、もの忘れ相談の継続</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認知症診断・治療における国保川崎病院との連携、認知症初期段階からの医療フォロー</w:t>
            </w:r>
          </w:p>
        </w:tc>
      </w:tr>
    </w:tbl>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KPIの3層構造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4%"/>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層</w:t>
            </w:r>
          </w:p>
        </w:tc>
        <w:tc>
          <w:tcPr>
            <w:tcW w:type="pct" w:w="4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指標</w:t>
            </w:r>
          </w:p>
        </w:tc>
        <w:tc>
          <w:tcPr>
            <w:tcW w:type="pct" w:w="2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現状値</w:t>
            </w:r>
          </w:p>
        </w:tc>
        <w:tc>
          <w:tcPr>
            <w:tcW w:type="pct" w:w="2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目標値（R11）</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プロセス
（活動量）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認知症サポーター養成講座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認知症カフェ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アウトプット
（成果物）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認知症サポーター累計養成数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550名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チームオレンジ整備状況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整備</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認知症初期集中支援チーム 訪問件数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アウトカム
（住民の変化）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増加</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認知症の人と家族の地域生活満足度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増加</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認知症本人・家族の意見聴取は、郵送のアンケート調査とは別チャネル（地域包括支援センター・国保川崎病院経由）で実施します。聴取結果はVer.2.0で本章に反映します。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0F4F73"/>
          <w:sz w:val="48"/>
          <w:szCs w:val="48"/>
        </w:rPr>
        <w:t xml:space="preserve">第 7 章</w:t>
      </w:r>
    </w:p>
    <w:p>
      <w:pPr>
        <w:pBdr>
          <w:top w:val="single" w:color="0F4F73" w:sz="24"/>
          <w:bottom w:val="single" w:color="0F4F73" w:sz="24"/>
        </w:pBdr>
        <w:shd w:fill="D6E4F0" w:val="solid"/>
        <w:spacing w:after="240" w:before="0" w:line="320"/>
        <w:jc w:val="center"/>
      </w:pPr>
      <w:r>
        <w:rPr>
          <w:rFonts w:ascii="游ゴシック" w:cs="游ゴシック" w:eastAsia="游ゴシック" w:hAnsi="游ゴシック"/>
          <w:b/>
          <w:bCs/>
          <w:i w:val="false"/>
          <w:iCs w:val="false"/>
          <w:color w:val="0F4F73"/>
          <w:sz w:val="32"/>
          <w:szCs w:val="32"/>
        </w:rPr>
        <w:t xml:space="preserve">介護保険サービス見込量と保険料</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章では、第10期計画期間（令和9〜11年度）の介護保険サービス見込量と、それに基づく介護保険料の試算を示します。本素案Ver.1.10では、令和8年9月1日に町からご提供いただいた実績データ等により算定した保険料の概算試算を掲載しています。これは確定値ではなく仮試算であり、国民健康保険団体連合会の給付実績、所得段階別被保険者数、調整交付金の交付実績、及び令和9年度の介護報酬改定の内容を踏まえ、第3回策定委員会（令和9年1月）で協議のうえ確定します。策定委員会は3回構成であり、第3回で答申の内容を確定する予定で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本章は介護保険法第117条第2項第2号「各年度における種類ごとの介護給付等対象サービスの量の見込み」に対応する計画の核心部分である。</w:t>
      </w:r>
    </w:p>
    <w:p>
      <w:pPr>
        <w:pBdr>
          <w:bottom w:val="single" w:color="0F4F73" w:sz="18"/>
        </w:pBdr>
        <w:spacing w:after="160" w:before="360" w:line="320"/>
      </w:pPr>
      <w:r>
        <w:rPr>
          <w:rFonts w:ascii="游ゴシック" w:cs="游ゴシック" w:eastAsia="游ゴシック" w:hAnsi="游ゴシック"/>
          <w:b/>
          <w:bCs/>
          <w:i w:val="false"/>
          <w:iCs w:val="false"/>
          <w:color w:val="0F4F73"/>
          <w:sz w:val="26"/>
          <w:szCs w:val="26"/>
        </w:rPr>
        <w:t>7-1　サービス見込量の推計</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推計の基本ロジック</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サービス見込量は、以下の基本ロジックに基づき算定します。</w:t>
      </w:r>
    </w:p>
    <w:p>
      <w:pPr>
        <w:pBdr>
          <w:top w:val="single" w:color="0F4F73" w:sz="12"/>
          <w:bottom w:val="single" w:color="0F4F73" w:sz="12"/>
        </w:pBdr>
        <w:shd w:fill="D6E4F0" w:val="solid"/>
        <w:spacing w:after="200" w:before="200" w:line="360"/>
        <w:jc w:val="center"/>
      </w:pPr>
      <w:r>
        <w:rPr>
          <w:rFonts w:ascii="游ゴシック" w:cs="游ゴシック" w:eastAsia="游ゴシック" w:hAnsi="游ゴシック"/>
          <w:b/>
          <w:bCs/>
          <w:i w:val="false"/>
          <w:iCs w:val="false"/>
          <w:color w:val="0F4F73"/>
          <w:sz w:val="26"/>
          <w:szCs w:val="26"/>
        </w:rPr>
        <w:t xml:space="preserve">見込量 = 将来人口 × 認定率 × 利用率 × 1人当たり利用量</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この基本式に、川崎町固有の補正要素（住所地特例による町外施設利用、認知症基本法対応の地域支援事業拡充、ユニバーサルサポーター制度による軽度認定者の重度化抑制等）を組み込みます。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の基本式は、地域包括ケア「見える化」システムの推計ツールが用いる自然体推計と同じ考え方です。自然体推計では、要介護認定率、施設・居住系サービスの利用率、在宅サービスの利用率、1人1月あたりの利用回（日）数について、直近年度の実績が将来も継続すると仮定して推計します。施設サービス（介護老人福祉施設・地域密着型介護老人福祉施設・介護老人保健施設）については、計画期間中は直近年度の利用者数が一定であると仮定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の見込量が3か年でほぼ同一の値となっているのは、この自然体推計の仕様によるものであり、町が施策による調整（施策反映）を加えていないためです。第10期では、自然体推計を出発点としたうえで、介護予防の強化、在宅サービスの利用勧奨、サービス提供体制の制約といった要素をどこまで見込量に反映させるかが論点となり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要素</w:t>
            </w:r>
          </w:p>
        </w:tc>
        <w:tc>
          <w:tcPr>
            <w:tcW w:type="pct" w:w="5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採用データ・方針</w:t>
            </w:r>
          </w:p>
        </w:tc>
        <w:tc>
          <w:tcPr>
            <w:tcW w:type="pct" w:w="3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根拠・出典</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国立社会保障・人口問題研究所「日本の地域別将来推計人口（令和5年推計）」を基本。住民基本台帳との突合で補正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社人研R5推計</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②認定率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性別・年齢階級別（5歳階級）認定率を、直近5年間（R3〜R7）の実績推移から算定。後期高齢者の急増局面を反映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町保険者データ</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国保連データから、サービス種類別の利用率（認定者中の利用者割合）を算定。直近年度を基本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国保連・町実績</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④1人当たり
　利用量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実績データから月平均利用量（訪問介護＝時間、通所介護＝回数、施設＝日数等）を算定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町給付実績</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Step</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作業</w:t>
            </w:r>
          </w:p>
        </w:tc>
        <w:tc>
          <w:tcPr>
            <w:tcW w:type="pct" w:w="7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社人研データから令和9〜11年度の年齢階級別人口（前期高齢者・75〜85歳未満・85歳以上）を推計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認定者推計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年齢階級別認定率を将来人口に乗じて、要介護度別認定者数を推計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利用率算定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国保連データから、サービス種類別の利用率（認定者中の利用者割合）を算定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見込量推計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認定者推計 × 利用率 × 1人当たり利用量 により、年度別・サービス種類別の見込量を算定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アンケート補正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一般高齢者ニーズ調査・認定者調査の結果から、潜在ニーズ・利用意向を反映して見込量を補正</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見える化登録・比較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見える化システムに登録し、仙南圏域（柴田町・大河原町・村田町・丸森町・蔵王町・七ヶ宿町）と比較確認</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年度別サービス見込量（数値枠）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第10期計画期間中（令和9〜11年度）の年度別・サービス種類別見込量は、上記6ステップを経て下表のとおり算定します。本素案Ver.1.10では枠のみ提示し、Ver.2.0で確定値を記載します。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3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サービス種類</w:t>
            </w:r>
          </w:p>
        </w:tc>
        <w:tc>
          <w:tcPr>
            <w:tcW w:type="pct" w:w="1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単位</w:t>
            </w:r>
          </w:p>
        </w:tc>
        <w:tc>
          <w:tcPr>
            <w:tcW w:type="pct" w:w="1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R3実績</w:t>
            </w:r>
          </w:p>
        </w:tc>
        <w:tc>
          <w:tcPr>
            <w:tcW w:type="pct" w:w="11%"/>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R9</w:t>
            </w:r>
          </w:p>
        </w:tc>
        <w:tc>
          <w:tcPr>
            <w:tcW w:type="pct" w:w="11%"/>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R10</w:t>
            </w:r>
          </w:p>
        </w:tc>
        <w:tc>
          <w:tcPr>
            <w:tcW w:type="pct" w:w="1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R11</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訪問介護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訪問看護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通所介護（デイサービス）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通所リハビリ（デイケア）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短期入所（ショートステイ）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日/月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福祉用具・住宅改修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件/月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地域
密着型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認知症対応型共同生活介護（GH）</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地域
密着型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小規模多機能型居宅介護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介護老人福祉施設（特養・町外含む）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68人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介護老人保健施設（老健・町外含む）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66人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介護療養型・介護医療院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0</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出典：R3実績：年報データ2021／R9〜R11見込み：Ver.2.0で確定（社人研推計＋6ステップ算定）</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年度別・サービス種類別見込量の確定値は、町担当課提供データ、国保連データ、アンケート結果、国通知の反映を経て、Ver.2.0で記載します。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町外施設の建設計画・受入余地等の情報収集を行い、川崎町民の施設利用継続を担保する</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地域支援事業の量の見込み</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地域支援事業（介護予防・日常生活支援総合事業、包括的支援事業、任意事業）の量の見込みも、サービス見込量と同様に第10期計画期間中の年度別実施量を算定します。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R3実績</w:t>
            </w:r>
          </w:p>
        </w:tc>
        <w:tc>
          <w:tcPr>
            <w:tcW w:type="pct" w:w="4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R9〜R11見込み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介護予防・生活支援サービス事業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約565万円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【町確認・アンケート結果反映後確定】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一般介護予防事業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約195万円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【ユニバーサルサポーター制度との整合確認】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包括的支援・任意事業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約2,447万円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【包括センター体制強化を反映】</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合計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約3,207万円</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【国の上限額管理基準を踏まえ確定】</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出典：R3実績：年報データ2021・様式4／R9〜R11見込み：Ver.2.0で確定</w:t>
      </w:r>
    </w:p>
    <w:p>
      <w:pPr>
        <w:pBdr>
          <w:bottom w:val="single" w:color="0F4F73" w:sz="18"/>
        </w:pBdr>
        <w:spacing w:after="160" w:before="360" w:line="320"/>
      </w:pPr>
      <w:r>
        <w:rPr>
          <w:rFonts w:ascii="游ゴシック" w:cs="游ゴシック" w:eastAsia="游ゴシック" w:hAnsi="游ゴシック"/>
          <w:b/>
          <w:bCs/>
          <w:i w:val="false"/>
          <w:iCs w:val="false"/>
          <w:color w:val="0F4F73"/>
          <w:sz w:val="26"/>
          <w:szCs w:val="26"/>
        </w:rPr>
        <w:t>7-2　介護給付費の見込み</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給付費算定の構造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介護給付費の見込みは、サービス見込量に各種単価・加算率を乗じて算定します。標準給付費見込額は、保険料算定の出発点となる極めて重要な数値です。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6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サービス見込量 × サービス種類別単価 × 加算率 で算定。3年間の累計値</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 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自己負担月額の上限超過分の払戻し（R3実績 約2,682万円）</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 高額医療合算介護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医療＋介護の合算自己負担上限超過分（R3実績 約240万円）</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 特定入所者介護費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低所得施設入所者の食費・居住費補足給付（R3実績 約5,247万円）</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 保険給付費総額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R3実績：約10.4億円。第10期で給付費上方圧力（後期高齢者+10.9%）が見込まれる</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総合事業・包括的支援事業・任意事業（R3実績 約3,207万円）</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第10期 給付費見込み（令和8年9月時点の仮試算）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R3実績</w:t>
            </w:r>
          </w:p>
        </w:tc>
        <w:tc>
          <w:tcPr>
            <w:tcW w:type="pct" w:w="1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R9</w:t>
            </w:r>
          </w:p>
        </w:tc>
        <w:tc>
          <w:tcPr>
            <w:tcW w:type="pct" w:w="1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R10</w:t>
            </w:r>
          </w:p>
        </w:tc>
        <w:tc>
          <w:tcPr>
            <w:tcW w:type="pct" w:w="1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標準給付費（サービス種類別）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約9.6億円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【Ver.2.0で内訳】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【Ver.2.0で内訳】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【Ver.2.0で内訳】</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高額・特定入所者等を加算</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+約0.8億円</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【Ver.2.0で内訳】</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【Ver.2.0で内訳】</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【Ver.2.0で内訳】</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保険給付費総額（標準給付費見込額）</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約10.4億円</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1,140,363千円</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1,157,469千円</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1,174,831千円</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地域支援事業費</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約0.32億円</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45,272千円</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45,272千円</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45,272千円</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3年累計（仮試算・中位ケース）</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3,608,480千円（標準給付費3,472,663＋地域支援事業費135,817）</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出典：R3実績：年報データ2021／R9〜R11：令和8年9月時点の概算試算（中位ケース・仮試算）。サービス種類別の内訳と確定値はVer.2.0で記載</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上表の令和9〜11年度は、令和8年度の保険給付費見込額1,106,907千円を基礎に、給付費が年1.5％増加し、令和9年度に介護報酬が1.5％改定されると仮定した中位ケースの仮試算です。3年間の標準給付費は3,472,663千円（第9期計画3,294,553千円に対し+5.4％）、地域支援事業費は135,817千円（同91,560千円に対し+48.3％）となります。国民健康保険団体連合会の給付実績によるサービス種類別の積上げを経て、Ver.2.0で確定値に置き換え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では、後期高齢者の増加と認知症基本法対応に伴う認知症施策の拡充により、給付費の上方圧力が見込まれます。一方で、令和6年度から令和7年度にかけて標準給付費が1,093,253千円から1,085,203千円へ0.7％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おり、供給可能量の分析を踏まえた推計が必要です。</w:t>
      </w:r>
    </w:p>
    <w:p>
      <w:pPr>
        <w:pBdr>
          <w:bottom w:val="single" w:color="0F4F73" w:sz="18"/>
        </w:pBdr>
        <w:spacing w:after="160" w:before="360" w:line="320"/>
      </w:pPr>
      <w:r>
        <w:rPr>
          <w:rFonts w:ascii="游ゴシック" w:cs="游ゴシック" w:eastAsia="游ゴシック" w:hAnsi="游ゴシック"/>
          <w:b/>
          <w:bCs/>
          <w:i w:val="false"/>
          <w:iCs w:val="false"/>
          <w:color w:val="0F4F73"/>
          <w:sz w:val="26"/>
          <w:szCs w:val="26"/>
        </w:rPr>
        <w:t>7-3　介護保険料の試算（8ステップ・3パターン）</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期</w:t>
            </w:r>
          </w:p>
        </w:tc>
        <w:tc>
          <w:tcPr>
            <w:tcW w:type="pct" w:w="2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計画期間</w:t>
            </w:r>
          </w:p>
        </w:tc>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月額基準額</w:t>
            </w:r>
          </w:p>
        </w:tc>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対前期</w:t>
            </w:r>
          </w:p>
        </w:tc>
        <w:tc>
          <w:tcPr>
            <w:tcW w:type="pct" w:w="2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第8期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R3〜R5年度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年報2021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R6〜R8年度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+120円
(+1.9%)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第9期計画書</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第10期
（本計画）</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R9〜R11年度</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A 7,703円／B 7,023円／C 6,344円</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A +1,203円／B +523円／C ▲156円</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本計画（令和8年9月時点の仮試算）</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w:t>
      </w:r>
    </w:p>
    <w:p>
      <w:pPr>
        <w:spacing w:after="60" w:before="120"/>
        <w:jc w:val="center"/>
      </w:pPr>
      <w:r>
        <w:drawing>
          <wp:inline distT="0" distB="0" distL="0" distR="0">
            <wp:extent cx="5143500" cy="31348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34864"/>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図7-1　介護保険料月額基準額の推移と第10期の仮試算3パターン（令和8年9月時点・確定値は第3回策定委員会で決定）</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では、後期高齢者の増加に伴う認定者・給付費増、認知症基本法対応に伴う認知症施策の拡充、地域支援事業の充実等により、給付費の上方圧力が見込まれます。一方で、介護給付費準備基金の取崩し、収納率の維持（総合収納率は令和2〜6年度で96.4〜96.7％）等により、保険料水準の抑制が可能となります。なお、所得段階の13段階化は令和6年度に実施済みであり、第10期の抑制要因にはあたりません。最終的な保険料基準額は、第3回策定委員会（令和9年1月）での協議を経て決定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保険料算定の8ステップ</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Step</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作業名</w:t>
            </w:r>
          </w:p>
        </w:tc>
        <w:tc>
          <w:tcPr>
            <w:tcW w:type="pct" w:w="7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標準給付費見込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7-1で確定したサービス見込量×単価×加算率で、3年間の標準給付費を算出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（標準給付費＋地域支援事業費）× 第1号被保険者負担割合。第9期は23％。第10期の割合は政令で定められ、24％となった場合は月額約322円の上昇となる（確認事項No.61）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後期高齢者割合・所得段階別人口により交付率を算定。第9期計画の見込率は3.9％（129,349千円／標準給付費3,294,553千円）、令和8年度の見込率は3.67％。本試算は3.7％を用いており、交付実績の確認を要する（確認事項No.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第9期で借入があれば償還金計上（川崎町では従来借入なし）</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6</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介護給付費準備基金
取崩額</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Step1〜6を反映した3年間の収納必要額</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8</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保険料基準額算定</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保険料収納必要額 ÷ 予定保険料収納率 ÷ 所得段階別加入割合補正後被保険者数 ÷ 12 で月額基準額を決定</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保険料基準額の算定式</w:t>
      </w:r>
    </w:p>
    <w:p>
      <w:pPr>
        <w:pBdr>
          <w:top w:val="single" w:color="0F4F73" w:sz="12"/>
          <w:bottom w:val="single" w:color="0F4F73" w:sz="12"/>
        </w:pBdr>
        <w:shd w:fill="D6E4F0" w:val="solid"/>
        <w:spacing w:after="200" w:before="200" w:line="360"/>
        <w:jc w:val="center"/>
      </w:pPr>
      <w:r>
        <w:rPr>
          <w:rFonts w:ascii="游ゴシック" w:cs="游ゴシック" w:eastAsia="游ゴシック" w:hAnsi="游ゴシック"/>
          <w:b/>
          <w:bCs/>
          <w:i w:val="false"/>
          <w:iCs w:val="false"/>
          <w:color w:val="0F4F73"/>
          <w:sz w:val="22"/>
          <w:szCs w:val="22"/>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こで、「保険料収納必要額」は3年間の合計値です。「所得段階別加入割合補正後被保険者数」は、所得段階別の被保険者数に各段階の基準額に対する割合（乗率）を乗じて合計した値で、第9期計画では3か年計9,875人としています。「予定保険料収納率」は次節で詳述します。この算定式は、地域包括ケア「見える化」システムの推計ツールが用いる算式と同一であり、第9期計画書95頁の保険料算出表もこの式によってい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介護給付費準備基金の活用方針</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6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金額・方針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令和7年度末 基金残高（令和8年6月確定）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148,100千円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令和8年度末 基金残高（見込み）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152,500千円（保険料に換算して月額約1,359円分）</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第10期 取崩額（3パターン）</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A：取崩なし 0千円／B：50％取崩 76,250千円／C：全額取崩 152,500千円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第11期以降への影響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基金温存（パターンA）は次期の保険料急騰リスクを抑制／全額取崩（パターンC）は次期の負担が増大</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試算3パターン</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の介護保険料は、介護給付費準備基金の取崩額を主な変動要因として、以下の3パターンを試算しました。掲載した月額基準額は令和8年9月時点の仮試算であり、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パターン</w:t>
            </w:r>
          </w:p>
        </w:tc>
        <w:tc>
          <w:tcPr>
            <w:tcW w:type="pct" w:w="2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基金取崩方針</w:t>
            </w:r>
          </w:p>
        </w:tc>
        <w:tc>
          <w:tcPr>
            <w:tcW w:type="pct" w:w="3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特徴</w:t>
            </w:r>
          </w:p>
        </w:tc>
        <w:tc>
          <w:tcPr>
            <w:tcW w:type="pct" w:w="1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月額基準額（仮試算・中位）</w:t>
            </w:r>
          </w:p>
        </w:tc>
        <w:tc>
          <w:tcPr>
            <w:tcW w:type="pct" w:w="1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第11期影響</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基金取崩なし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7,703円（第9期比 +1,203円）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548235"/>
                <w:sz w:val="18"/>
                <w:szCs w:val="18"/>
              </w:rPr>
              <w:t xml:space="preserve">緩和</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基金50%取崩</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給付費増を一部相殺し、現実的な保険料水準を維持。次期負担との均衡を取る</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7,023円（第9期比 +523円）</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中位</w:t>
            </w:r>
          </w:p>
        </w:tc>
      </w:tr>
      <w:tr>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基金全額取崩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6,344円（第9期比 ▲156円）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増大</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令和8年9月2日時点で入手している資料により、中位ケース（給付費の自然増を年1.5％、令和9年度の介護報酬改定を+1.5％と仮定）で試算すると、月額基準額はパターンA 7,703円、パターンB 7,023円、パターンC 6,344円となります。第9期の6,500円との差は、それぞれ+1,203円、+523円、▲156円です。パターンCで第9期を下回るのは、準備基金152,500千円が保険料に換算して月額約1,359円分に相当するためです。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の試算は、国民健康保険団体連合会の給付実績、所得段階別被保険者数、調整交付金の交付実績、及び令和9年度の介護報酬改定の内容が未確定の段階での仮試算です。給付費の伸びを年0.5％・報酬改定なしとした低位ケースでは7,446円・6,766円・6,087円、年2.5％・報酬改定+2.5％とした高位ケースでは7,928円・7,249円・6,569円となります。また、第10期の第1号被保険者負担割合が24％と定められた場合は、パターンBで約7,345円となります。確定値は第3回策定委員会（令和9年1月）でお示し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所得段階の乗率の検討（現行13段階）</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第9期（令和6年度〜・現行）</w:t>
            </w:r>
          </w:p>
        </w:tc>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段階数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最低段階の保険料率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0.455（第1段階・公費軽減後0.285）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最高段階の保険料率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2.40（第13段階・合計所得720万円以上）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高所得層の乗率の引上げ（弾力化）の可否</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川崎町への影響</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第1〜第3段階（住民税世帯非課税）979人・30.1％（令和3年度）</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所得段階別被保険者数の提供を受けて負担への影響を試算（確認事項No.10）</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予定収納率の設定</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予定収納率は、過去の保険料収納率の実績を踏まえて設定します。川崎町の総合収納率（滞納繰越分を含む）は令和2年度から令和6年度まで96.4〜96.7％で推移しており、令和8年度の見込みは97.0％です。本計画の概算試算では、第9期計画と同じ96.0％を用いています。なお、町提供実績データの令和7年度の値99.6％は他の年度と乖離しており、現年度分の収納率と取り違えている可能性があるため確認中です（確認事項No.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令和3年度（年報）</w:t>
            </w:r>
          </w:p>
        </w:tc>
        <w:tc>
          <w:tcPr>
            <w:tcW w:type="pct" w:w="4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町提供実績データ（決算書）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特別徴収（年金天引）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548235"/>
                <w:sz w:val="18"/>
                <w:szCs w:val="18"/>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普通徴収（自主納付・現年度分）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87.3%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現年度分計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548235"/>
                <w:sz w:val="18"/>
                <w:szCs w:val="18"/>
              </w:rPr>
              <w:t xml:space="preserve">99.0%</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総合計（滞納繰越分含む）</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96.3%</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R2 96.6／R3 96.4／R4 96.7／R5 96.6／R6 96.7／R7 99.6（他年度と乖離があり確認中）／R8見込 97.0（％）</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出典：令和3年度：年報データ2021・様式3／令和2〜8年度：町提供実績データ（令和8年9月1日受領・05シート、出典は決算書）</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近隣自治体・宮城県・全国との比較</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自治体・区分</w:t>
            </w:r>
          </w:p>
        </w:tc>
        <w:tc>
          <w:tcPr>
            <w:tcW w:type="pct" w:w="2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第9期保険料
（月額基準額）</w:t>
            </w:r>
          </w:p>
        </w:tc>
        <w:tc>
          <w:tcPr>
            <w:tcW w:type="pct" w:w="3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出典・備考</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6,500円</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同上。川崎町は県内35市町村中 第10〜12位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全国 加重平均</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6,225円</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厚生労働省 第9期介護保険料の状況</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県内順位は宮城県公表の市町村別保険料一覧（第9期）により確認済みです。第10期の比較値は、各市町村の計画確定後に更新します。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所得段階別保険料（第10期は仮試算）</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所得段階別の保険料は、基準額に各段階の乗率を乗じて算定します。下表は、令和6年度から適用している13段階の乗率をそのまま用い、第10期の仮試算Ｂ（基金50％取崩・月額7,023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150"/>
        <w:gridCol w:w="80"/>
        <w:gridCol w:w="105"/>
        <w:gridCol w:w="110"/>
      </w:tblGrid>
      <w:tr>
        <w:tc>
          <w:tcPr>
            <w:tcW w:type="dxa" w:w="55"/>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段階</w:t>
            </w:r>
          </w:p>
        </w:tc>
        <w:tc>
          <w:tcPr>
            <w:tcW w:type="dxa" w:w="15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対象</w:t>
            </w:r>
          </w:p>
        </w:tc>
        <w:tc>
          <w:tcPr>
            <w:tcW w:type="dxa" w:w="8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基準額に対する割合</w:t>
            </w:r>
          </w:p>
        </w:tc>
        <w:tc>
          <w:tcPr>
            <w:tcW w:type="dxa" w:w="105"/>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第9期 月額</w:t>
            </w:r>
          </w:p>
        </w:tc>
        <w:tc>
          <w:tcPr>
            <w:tcW w:type="dxa" w:w="11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第10期 月額（仮試算Ｂ）</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生活保護受給者・老齢福祉年金受給者／世帯非課税で年金収入等80万円以下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0.455（軽減後0.285）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2,957.5円（軽減後1,852.5円）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3,195円（軽減後2,002円）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世帯非課税／年金収入等80万円超120万円以下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0.685（軽減後0.485）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4,452.5円（軽減後3,152.5円）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4,811円（軽減後3,406円）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世帯非課税／年金収入等120万円超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0.690（軽減後0.685）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4,485円（軽減後4,452.5円）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4,846円（軽減後4,811円）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世帯課税・本人非課税／年金収入等80万円以下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0.90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5,850円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6,321円</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第5段階（基準）</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世帯課税・本人非課税／年金収入等80万円超</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1.00</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6,500円</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7,023円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7,800円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8,428円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本人課税／合計所得120万円以上210万円未満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8,450円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9,130円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本人課税／合計所得210万円以上320万円未満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9,750円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10,535円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本人課税／合計所得320万円以上420万円未満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11,050円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11,939円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本人課税／合計所得420万円以上520万円未満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13,344円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本人課税／合計所得520万円以上620万円未満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14,748円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本人課税／合計所得620万円以上720万円未満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2.30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16,153円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本人課税／合計所得720万円以上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2.40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16,855円</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乗率及び第9期月額は第9期計画書95頁。第10期月額は令和8年9月時点の仮試算Ｂ（月額7,023円）に第9期の乗率を乗じた参考値であり、国の標準乗率の提示及び所得段階別被保険者数（確認事項No.10）の確認を経て確定する</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確定スケジュール</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令和8年12月〜令和9年1月：保険料試算の精緻化（受託者＋町担当課）</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⑤　</w:t>
      </w:r>
      <w:r>
        <w:rPr>
          <w:rFonts w:ascii="游ゴシック" w:cs="游ゴシック" w:eastAsia="游ゴシック" w:hAnsi="游ゴシック"/>
          <w:b w:val="false"/>
          <w:bCs w:val="false"/>
          <w:i w:val="false"/>
          <w:iCs w:val="false"/>
          <w:color w:val="000000"/>
          <w:sz w:val="20"/>
          <w:szCs w:val="20"/>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⑥　</w:t>
      </w:r>
      <w:r>
        <w:rPr>
          <w:rFonts w:ascii="游ゴシック" w:cs="游ゴシック" w:eastAsia="游ゴシック" w:hAnsi="游ゴシック"/>
          <w:b w:val="false"/>
          <w:bCs w:val="false"/>
          <w:i w:val="false"/>
          <w:iCs w:val="false"/>
          <w:color w:val="000000"/>
          <w:sz w:val="20"/>
          <w:szCs w:val="20"/>
        </w:rPr>
        <w:t xml:space="preserve">令和9年1〜2月：パブリックコメントの実施</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⑦　</w:t>
      </w:r>
      <w:r>
        <w:rPr>
          <w:rFonts w:ascii="游ゴシック" w:cs="游ゴシック" w:eastAsia="游ゴシック" w:hAnsi="游ゴシック"/>
          <w:b w:val="false"/>
          <w:bCs w:val="false"/>
          <w:i w:val="false"/>
          <w:iCs w:val="false"/>
          <w:color w:val="000000"/>
          <w:sz w:val="20"/>
          <w:szCs w:val="20"/>
        </w:rPr>
        <w:t xml:space="preserve">令和9年3月：3月議会へ条例改正案を上程、可決後に公表</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404040"/>
          <w:sz w:val="48"/>
          <w:szCs w:val="48"/>
        </w:rPr>
        <w:t xml:space="preserve">第 8 章</w:t>
      </w:r>
    </w:p>
    <w:p>
      <w:pPr>
        <w:pBdr>
          <w:top w:val="single" w:color="404040" w:sz="24"/>
          <w:bottom w:val="single" w:color="404040" w:sz="24"/>
        </w:pBdr>
        <w:shd w:fill="E2E8F0" w:val="solid"/>
        <w:spacing w:after="240" w:before="0" w:line="320"/>
        <w:jc w:val="center"/>
      </w:pPr>
      <w:r>
        <w:rPr>
          <w:rFonts w:ascii="游ゴシック" w:cs="游ゴシック" w:eastAsia="游ゴシック" w:hAnsi="游ゴシック"/>
          <w:b/>
          <w:bCs/>
          <w:i w:val="false"/>
          <w:iCs w:val="false"/>
          <w:color w:val="404040"/>
          <w:sz w:val="32"/>
          <w:szCs w:val="32"/>
        </w:rPr>
        <w:t xml:space="preserve">計画の推進体制と評価</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本計画を着実に推進し、その効果を最大化するため、推進体制・進行管理・評価の仕組みを以下のとおり整備します。</w:t>
      </w:r>
    </w:p>
    <w:p>
      <w:pPr>
        <w:pBdr>
          <w:bottom w:val="single" w:color="404040" w:sz="18"/>
        </w:pBdr>
        <w:spacing w:after="160" w:before="360" w:line="320"/>
      </w:pPr>
      <w:r>
        <w:rPr>
          <w:rFonts w:ascii="游ゴシック" w:cs="游ゴシック" w:eastAsia="游ゴシック" w:hAnsi="游ゴシック"/>
          <w:b/>
          <w:bCs/>
          <w:i w:val="false"/>
          <w:iCs w:val="false"/>
          <w:color w:val="404040"/>
          <w:sz w:val="26"/>
          <w:szCs w:val="26"/>
        </w:rPr>
        <w:t>8-1　推進体制</w:t>
      </w:r>
    </w:p>
    <w:p>
      <w:pPr>
        <w:pBdr>
          <w:bottom w:val="single" w:color="404040" w:sz="4"/>
        </w:pBdr>
        <w:shd w:fill="E2E8F0" w:val="solid"/>
        <w:spacing w:after="120" w:before="220" w:line="300"/>
      </w:pPr>
      <w:r>
        <w:rPr>
          <w:rFonts w:ascii="游ゴシック" w:cs="游ゴシック" w:eastAsia="游ゴシック" w:hAnsi="游ゴシック"/>
          <w:b/>
          <w:bCs/>
          <w:i w:val="false"/>
          <w:iCs w:val="false"/>
          <w:color w:val="404040"/>
          <w:sz w:val="22"/>
          <w:szCs w:val="22"/>
        </w:rPr>
        <w:t xml:space="preserve">　▌ 町の体制</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組織</w:t>
            </w:r>
          </w:p>
        </w:tc>
        <w:tc>
          <w:tcPr>
            <w:tcW w:type="pct" w:w="70%"/>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役割</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計画の総合的推進、進行管理、介護保険事業の運営</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移動支援（町民バス・デマンドバス）の所管との連携</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総合相談、介護予防ケアマネジメント、地域ケア会議の運営</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町内医療拠点としての在宅医療・介護連携、認知症診療</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地域包括支援センター運営、福祉移送サービス、ユニバーサルサポーター制度</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地域見守り、ふれあいネットワーク活動、各種サポーター活動</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夜間救急・専門医療における広域連携</w:t>
            </w:r>
          </w:p>
        </w:tc>
      </w:tr>
    </w:tbl>
    <w:p>
      <w:pPr>
        <w:pBdr>
          <w:bottom w:val="single" w:color="404040" w:sz="18"/>
        </w:pBdr>
        <w:spacing w:after="160" w:before="360" w:line="320"/>
      </w:pPr>
      <w:r>
        <w:rPr>
          <w:rFonts w:ascii="游ゴシック" w:cs="游ゴシック" w:eastAsia="游ゴシック" w:hAnsi="游ゴシック"/>
          <w:b/>
          <w:bCs/>
          <w:i w:val="false"/>
          <w:iCs w:val="false"/>
          <w:color w:val="404040"/>
          <w:sz w:val="26"/>
          <w:szCs w:val="26"/>
        </w:rPr>
        <w:t>8-2　進行管理（PDCAサイクル）</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段階</w:t>
            </w:r>
          </w:p>
        </w:tc>
        <w:tc>
          <w:tcPr>
            <w:tcW w:type="pct" w:w="56%"/>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実施内容</w:t>
            </w:r>
          </w:p>
        </w:tc>
        <w:tc>
          <w:tcPr>
            <w:tcW w:type="pct" w:w="30%"/>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時期</w:t>
            </w:r>
          </w:p>
        </w:tc>
      </w:tr>
      <w:tr>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計画期間開始前</w:t>
            </w:r>
          </w:p>
        </w:tc>
      </w:tr>
      <w:tr>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計画期間中（通年）</w:t>
            </w:r>
          </w:p>
        </w:tc>
      </w:tr>
      <w:tr>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毎年度末</w:t>
            </w:r>
          </w:p>
        </w:tc>
      </w:tr>
      <w:tr>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次年度予算編成時</w:t>
            </w:r>
          </w:p>
        </w:tc>
      </w:tr>
    </w:tbl>
    <w:p>
      <w:pPr>
        <w:pBdr>
          <w:bottom w:val="single" w:color="404040" w:sz="18"/>
        </w:pBdr>
        <w:spacing w:after="160" w:before="360" w:line="320"/>
      </w:pPr>
      <w:r>
        <w:rPr>
          <w:rFonts w:ascii="游ゴシック" w:cs="游ゴシック" w:eastAsia="游ゴシック" w:hAnsi="游ゴシック"/>
          <w:b/>
          <w:bCs/>
          <w:i w:val="false"/>
          <w:iCs w:val="false"/>
          <w:color w:val="404040"/>
          <w:sz w:val="26"/>
          <w:szCs w:val="26"/>
        </w:rPr>
        <w:t>8-3　計画の評価と見直し</w:t>
      </w:r>
    </w:p>
    <w:p>
      <w:pPr>
        <w:pBdr>
          <w:bottom w:val="single" w:color="404040" w:sz="4"/>
        </w:pBdr>
        <w:shd w:fill="E2E8F0" w:val="solid"/>
        <w:spacing w:after="120" w:before="220" w:line="300"/>
      </w:pPr>
      <w:r>
        <w:rPr>
          <w:rFonts w:ascii="游ゴシック" w:cs="游ゴシック" w:eastAsia="游ゴシック" w:hAnsi="游ゴシック"/>
          <w:b/>
          <w:bCs/>
          <w:i w:val="false"/>
          <w:iCs w:val="false"/>
          <w:color w:val="404040"/>
          <w:sz w:val="22"/>
          <w:szCs w:val="22"/>
        </w:rPr>
        <w:t xml:space="preserve">　▌ 評価の仕組み</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計画の評価は以下の仕組みで実施します。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中間評価：計画期間の中間年（R10年度）に、策定委員会または同等の組織で中間評価</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計画期間終了時評価：第10期計画終了時（R11年度）に、第11期計画策定の基礎資料として総括評価</w:t>
      </w:r>
    </w:p>
    <w:p>
      <w:pPr>
        <w:pBdr>
          <w:bottom w:val="single" w:color="404040" w:sz="4"/>
        </w:pBdr>
        <w:shd w:fill="E2E8F0" w:val="solid"/>
        <w:spacing w:after="120" w:before="220" w:line="300"/>
      </w:pPr>
      <w:r>
        <w:rPr>
          <w:rFonts w:ascii="游ゴシック" w:cs="游ゴシック" w:eastAsia="游ゴシック" w:hAnsi="游ゴシック"/>
          <w:b/>
          <w:bCs/>
          <w:i w:val="false"/>
          <w:iCs w:val="false"/>
          <w:color w:val="404040"/>
          <w:sz w:val="22"/>
          <w:szCs w:val="22"/>
        </w:rPr>
        <w:t xml:space="preserve">　▌ 計画の見直し</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計画期間中に、国の制度改正・大きな社会経済情勢の変化・町の重大な課題変化が生じた場合は、本計画の見直しを検討します。見直しの検討は策定委員会または同等の組織で行います。</w:t>
      </w:r>
    </w:p>
    <w:p>
      <w:pPr>
        <w:pBdr>
          <w:bottom w:val="single" w:color="404040" w:sz="4"/>
        </w:pBdr>
        <w:shd w:fill="E2E8F0" w:val="solid"/>
        <w:spacing w:after="120" w:before="220" w:line="300"/>
      </w:pPr>
      <w:r>
        <w:rPr>
          <w:rFonts w:ascii="游ゴシック" w:cs="游ゴシック" w:eastAsia="游ゴシック" w:hAnsi="游ゴシック"/>
          <w:b/>
          <w:bCs/>
          <w:i w:val="false"/>
          <w:iCs w:val="false"/>
          <w:color w:val="404040"/>
          <w:sz w:val="22"/>
          <w:szCs w:val="22"/>
        </w:rPr>
        <w:t xml:space="preserve">　▌ 情報公開と住民参画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本計画の推進状況は、町ホームページ・町広報誌等で住民に積極的に公開します。また、住民意見の継続的な反映のため、必要に応じてアンケート・地区説明会等を実施します。</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pBdr>
          <w:top w:val="double" w:color="1F3864" w:sz="18"/>
        </w:pBdr>
        <w:spacing w:after="240" w:before="480" w:line="360"/>
        <w:jc w:val="center"/>
      </w:pPr>
      <w:r>
        <w:rPr>
          <w:rFonts w:ascii="游ゴシック" w:cs="游ゴシック" w:eastAsia="游ゴシック" w:hAnsi="游ゴシック"/>
          <w:b/>
          <w:bCs/>
          <w:i w:val="false"/>
          <w:iCs w:val="false"/>
          <w:color w:val="1F3864"/>
          <w:sz w:val="22"/>
          <w:szCs w:val="22"/>
        </w:rPr>
        <w:t xml:space="preserve">─ 本素案 Ver.1.10 結 ─</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jc w:val="center"/>
      </w:pPr>
      <w:r>
        <w:rPr>
          <w:rFonts w:ascii="游ゴシック" w:cs="游ゴシック" w:eastAsia="游ゴシック" w:hAnsi="游ゴシック"/>
          <w:b w:val="false"/>
          <w:bCs w:val="false"/>
          <w:i/>
          <w:iCs/>
          <w:color w:val="595959"/>
          <w:sz w:val="18"/>
          <w:szCs w:val="18"/>
        </w:rPr>
        <w:t xml:space="preserve">本素案Ver.1.10は、第9期の事業実績（町ご記入分）、関連施策評価調査の結果、事業所ヒアリングの結果、及び国通知の確認を経て、Ver.2.0として更新します。Ver.2.0は令和8年11月の第2回策定委員会で計画骨子（素案）として審議いただく予定です。第7章に掲載した保険料の試算値は、第3回策定委員会（令和9年1月）で確定値に置き換え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