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Ver.1.19</w:t>
      </w:r>
    </w:p>
    <w:p>
      <w:pPr>
        <w:spacing w:after="80" w:before="80"/>
        <w:jc w:val="center"/>
      </w:pPr>
      <w:r>
        <w:rPr>
          <w:rFonts w:ascii="游ゴシック" w:cs="游ゴシック" w:eastAsia="游ゴシック" w:hAnsi="游ゴシック"/>
          <w:b w:val="false"/>
          <w:bCs w:val="false"/>
          <w:i/>
          <w:iCs/>
          <w:sz w:val="18"/>
          <w:szCs w:val="18"/>
        </w:rPr>
        <w:t xml:space="preserve">（認知症基本法 条文検算版）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1.19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共生社会の実現を推進するための認知症基本法の条文により第6章を検算し、意見聴取の根拠条項・認知症の日及び認知症月間・計画の公表及び実施状況の評価など法が市町村に求める事項を加え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