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Ver.1.23</w:t>
      </w:r>
    </w:p>
    <w:p>
      <w:pPr>
        <w:spacing w:after="80" w:before="80"/>
        <w:jc w:val="center"/>
      </w:pPr>
      <w:r>
        <w:rPr>
          <w:rFonts w:ascii="游ゴシック" w:cs="游ゴシック" w:eastAsia="游ゴシック" w:hAnsi="游ゴシック"/>
          <w:b w:val="false"/>
          <w:bCs w:val="false"/>
          <w:i/>
          <w:iCs/>
          <w:sz w:val="18"/>
          <w:szCs w:val="18"/>
        </w:rPr>
        <w:t xml:space="preserve">（交付金 市町村分反映版）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bl>
    <w:p>
      <w:pPr>
        <w:spacing w:after="80" w:before="80" w:line="280"/>
        <w:ind w:left="288"/>
      </w:pPr>
      <w:r>
        <w:rPr>
          <w:rFonts w:ascii="游ゴシック" w:cs="游ゴシック" w:eastAsia="游ゴシック" w:hAnsi="游ゴシック"/>
          <w:i/>
          <w:iCs/>
          <w:sz w:val="19"/>
          <w:szCs w:val="19"/>
        </w:rPr>
        <w:t xml:space="preserve">⚠ 頁番号は、本素案Ver.1.17の組版によるものです。図表の差替え・加筆により頁の割付けが動いた場合は、目次の頁番号も併せて更新します。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1.23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確定しました（別冊「施策・事業の体系（Ｃ案）」）。本版では、令和8年9月25日に公表された交付金のとりまとめ資料（市町村分）を点検し、規模区分・過疎地域該当を揃えた比較と、失点を取り戻す順序を第3章3-3に加えました。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と標準層（50.2％）を大きく上回っており、特定健診・保健指導の対象を客観的に絞り込む手がかりとなります。低栄養リスクに該当する方は4人（0.7％）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1"/>
          <w:szCs w:val="21"/>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2"/>
          <w:szCs w:val="22"/>
        </w:rPr>
        <w:t xml:space="preserve">　▌ 失点の内訳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2"/>
          <w:szCs w:val="22"/>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11.1（16位）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2"/>
          <w:szCs w:val="22"/>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1"/>
          <w:szCs w:val="21"/>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2"/>
          <w:szCs w:val="22"/>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485.0点</w:t>
            </w:r>
          </w:p>
        </w:tc>
      </w:tr>
    </w:tbl>
    <w:p>
      <w:pPr>
        <w:spacing w:after="80" w:before="180" w:line="300"/>
      </w:pPr>
      <w:r>
        <w:rPr>
          <w:rFonts w:ascii="游ゴシック" w:cs="游ゴシック" w:eastAsia="游ゴシック" w:hAnsi="游ゴシック"/>
          <w:b w:val="1"/>
          <w:bCs w:val="1"/>
          <w:i w:val="false"/>
          <w:iCs w:val="false"/>
          <w:sz w:val="22"/>
          <w:szCs w:val="22"/>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1"/>
          <w:szCs w:val="21"/>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2"/>
          <w:szCs w:val="22"/>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介護予防・日常生活支援総合事業、包括的支援事業・任意事業を推進します。重層的支援体制整備事業との連動を加えます。（2節5項28事業）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6節8項27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本計画の基本理念・施策の体系は以下のとおりです。柱ごとの節・項・事業の全体像は、別冊「施策・事業の体系（Ｃ案）」（全7章17節37項140事業）に収録しています。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【7つの柱】（全7章17節37項140事業）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を除く施策を、施策体系・主な事業・成果指標（KPI）の3層構造で整理します。認知症施策（柱5）は第6章で、サービス提供体制と介護人材の確保は第7章で、保険者としての管理・評価は第8章（地域マネジメントの推進）で、それぞれ独立章として詳述します。なお、本章の5つの節は本素案Ver.1.20までの基本目標1〜5に対応するもので、節の構成を7つの柱の章立てに合わせる組み替えはVer.2.0で行います（対応は下表のとおりです）。その際、体系（Ｃ案）の140事業をすべて本章に掲げ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Ver.2.0で行います。Ver.1.21では、施策の内容は変えずに体系上の位置付けのみを確定しています。体系（Ｃ案）で新たに立てた事業23件（家族介護者への支援6件・認知症施策13件・町外医療機関との広域連携・重層的支援体制整備事業との連動・計画値と実績値の乖離のモニタリング・住所地特例への対応）は、Ver.2.0で本章及び第6章から第8章までに展開します。</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家族介護教室・介護相談・レスパイト（短期入所）の活用支援。本人が男性の世帯（介護者の70.6％が70歳以上）・夫婦のみ世帯（同81.3％）を重点対象とする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介護と仕事の両立支援、町内事業所との連携。本人が女性の世帯（介護者の43.6％が50代以下・フルタイム就労41.0％）を主たる対象とする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施策の体系においても、町がお示しになった「施策・事業の体系（案）」では「地域支援事業の充実」の一節に置かれていた認知症施策を、独立した柱（柱5 認知症施策の推進・6節8項27事業）に引き上げています。同法第14条から第21条までの8つの基本的施策のすべてに対応する事業を置いたうえで、第9条（認知症の日・認知症月間）及び第13条（計画の策定手続）への対応を加え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また、同交付金の体制・取組指標のうち「難聴高齢者の早期発見・早期介入」は20点満点で宮城県内1位（宮城県平均11.3点・全国平均6.9点）であり、本町の強みです。難聴は認知症の危険因子として国際的に確立しており、認知症基本法第21条（認知症の予防等）の対応事業として本章に位置付けます。</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意見の反映（基本法第13条第3項において準用する第12条第3項）：市町村計画の案を作成しようとするときは、あらかじめ、認知症の人及び家族等の意見を聴くよう努めなければならないとされています。本町では、地域包括支援センター及び国保川崎病院を経由して聴取し、計画書案の作成前に本章へ反映します。</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