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4800"/>
        <w:jc w:val="center"/>
      </w:pPr>
      <w:r>
        <w:rPr>
          <w:rFonts w:ascii="游ゴシック" w:cs="游ゴシック" w:eastAsia="游ゴシック" w:hAnsi="游ゴシック"/>
          <w:b w:val="1"/>
          <w:bCs w:val="1"/>
          <w:i w:val="false"/>
          <w:iCs w:val="false"/>
          <w:sz w:val="40"/>
          <w:szCs w:val="40"/>
        </w:rPr>
        <w:t xml:space="preserve">川崎町高齢者保健福祉計画</w:t>
      </w:r>
    </w:p>
    <w:p>
      <w:pPr>
        <w:spacing w:after="480" w:before="0"/>
        <w:jc w:val="center"/>
      </w:pPr>
      <w:r>
        <w:rPr>
          <w:rFonts w:ascii="游ゴシック" w:cs="游ゴシック" w:eastAsia="游ゴシック" w:hAnsi="游ゴシック"/>
          <w:b w:val="1"/>
          <w:bCs w:val="1"/>
          <w:i w:val="false"/>
          <w:iCs w:val="false"/>
          <w:sz w:val="40"/>
          <w:szCs w:val="40"/>
        </w:rPr>
        <w:t xml:space="preserve">第10期介護保険事業計画</w:t>
      </w:r>
    </w:p>
    <w:p>
      <w:pPr>
        <w:spacing w:after="240" w:before="240"/>
        <w:jc w:val="center"/>
      </w:pPr>
      <w:r>
        <w:rPr>
          <w:rFonts w:ascii="游ゴシック" w:cs="游ゴシック" w:eastAsia="游ゴシック" w:hAnsi="游ゴシック"/>
          <w:b w:val="1"/>
          <w:bCs w:val="1"/>
          <w:i/>
          <w:iCs/>
          <w:sz w:val="24"/>
          <w:szCs w:val="24"/>
        </w:rPr>
        <w:t xml:space="preserve">〜 認知症になっても誰もが自分らしく暮らせる地域共生社会の実現 〜</w:t>
      </w:r>
    </w:p>
    <w:p>
      <w:pPr>
        <w:spacing w:after="240" w:before="720"/>
        <w:jc w:val="center"/>
      </w:pPr>
      <w:r>
        <w:rPr>
          <w:rFonts w:ascii="游ゴシック" w:cs="游ゴシック" w:eastAsia="游ゴシック" w:hAnsi="游ゴシック"/>
          <w:b w:val="1"/>
          <w:bCs w:val="1"/>
          <w:i w:val="false"/>
          <w:iCs w:val="false"/>
          <w:sz w:val="28"/>
          <w:szCs w:val="28"/>
        </w:rPr>
        <w:t xml:space="preserve">計画書素案 Ver.2.3</w:t>
      </w:r>
    </w:p>
    <w:p>
      <w:pPr>
        <w:spacing w:after="80" w:before="80"/>
        <w:jc w:val="center"/>
      </w:pPr>
      <w:r>
        <w:rPr>
          <w:rFonts w:ascii="游ゴシック" w:cs="游ゴシック" w:eastAsia="游ゴシック" w:hAnsi="游ゴシック"/>
          <w:b w:val="false"/>
          <w:bCs w:val="false"/>
          <w:i/>
          <w:iCs/>
          <w:sz w:val="18"/>
          <w:szCs w:val="18"/>
        </w:rPr>
        <w:t xml:space="preserve">（レビュー反映版）</w:t>
      </w:r>
    </w:p>
    <w:p>
      <w:pPr>
        <w:spacing w:after="80" w:before="2400"/>
        <w:jc w:val="center"/>
      </w:pPr>
      <w:r>
        <w:rPr>
          <w:rFonts w:ascii="游ゴシック" w:cs="游ゴシック" w:eastAsia="游ゴシック" w:hAnsi="游ゴシック"/>
          <w:b w:val="1"/>
          <w:bCs w:val="1"/>
          <w:i w:val="false"/>
          <w:iCs w:val="false"/>
          <w:sz w:val="22"/>
          <w:szCs w:val="22"/>
        </w:rPr>
        <w:t xml:space="preserve">計画期間：令和9年度〜令和11年度</w:t>
      </w:r>
    </w:p>
    <w:p>
      <w:pPr>
        <w:spacing w:after="80" w:before="80"/>
        <w:jc w:val="center"/>
      </w:pPr>
      <w:r>
        <w:rPr>
          <w:rFonts w:ascii="游ゴシック" w:cs="游ゴシック" w:eastAsia="游ゴシック" w:hAnsi="游ゴシック"/>
          <w:b w:val="1"/>
          <w:bCs w:val="1"/>
          <w:i w:val="false"/>
          <w:iCs w:val="false"/>
          <w:sz w:val="22"/>
          <w:szCs w:val="22"/>
        </w:rPr>
        <w:t xml:space="preserve">令和8年6月</w:t>
      </w:r>
    </w:p>
    <w:p>
      <w:pPr>
        <w:spacing w:after="80" w:before="80"/>
        <w:jc w:val="center"/>
      </w:pPr>
      <w:r>
        <w:rPr>
          <w:rFonts w:ascii="游ゴシック" w:cs="游ゴシック" w:eastAsia="游ゴシック" w:hAnsi="游ゴシック"/>
          <w:b w:val="1"/>
          <w:bCs w:val="1"/>
          <w:i w:val="false"/>
          <w:iCs w:val="false"/>
          <w:sz w:val="22"/>
          <w:szCs w:val="22"/>
        </w:rPr>
        <w:t xml:space="preserve">宮城県柴田郡 川崎町</w:t>
      </w:r>
    </w:p>
    <w:p>
      <w:pPr>
        <w:spacing w:after="80" w:before="80"/>
        <w:jc w:val="center"/>
      </w:pPr>
      <w:r>
        <w:rPr>
          <w:rFonts w:ascii="游ゴシック" w:cs="游ゴシック" w:eastAsia="游ゴシック" w:hAnsi="游ゴシック"/>
          <w:b w:val="false"/>
          <w:bCs w:val="false"/>
          <w:i/>
          <w:iCs/>
          <w:sz w:val="16"/>
          <w:szCs w:val="16"/>
        </w:rPr>
        <w:t xml:space="preserve">（策定支援：ビズアップ公共コンサルティング株式会社）</w:t>
      </w:r>
    </w:p>
    <w:p>
      <w:pPr>
        <w:pageBreakBefore/>
        <w:spacing w:after="0" w:before="0" w:line="240"/>
      </w:pPr>
      <w:r>
        <w:rPr>
          <w:rFonts w:ascii="游ゴシック" w:cs="游ゴシック" w:eastAsia="游ゴシック" w:hAnsi="游ゴシック"/>
          <w:b w:val="false"/>
          <w:bCs w:val="false"/>
          <w:i w:val="false"/>
          <w:iCs w:val="false"/>
          <w:sz w:val="20"/>
          <w:szCs w:val="20"/>
        </w:rPr>
        <w:t xml:space="preserve"/>
      </w:r>
    </w:p>
    <w:p>
      <w:pPr>
        <w:spacing w:after="360" w:before="480" w:line="320"/>
        <w:jc w:val="center"/>
      </w:pPr>
      <w:r>
        <w:rPr>
          <w:rFonts w:ascii="游ゴシック" w:cs="游ゴシック" w:eastAsia="游ゴシック" w:hAnsi="游ゴシック"/>
          <w:b w:val="1"/>
          <w:bCs w:val="1"/>
          <w:i w:val="false"/>
          <w:iCs w:val="false"/>
          <w:sz w:val="36"/>
          <w:szCs w:val="36"/>
        </w:rPr>
        <w:t xml:space="preserve">ご　挨　拶</w:t>
      </w:r>
    </w:p>
    <w:p>
      <w:pPr>
        <w:spacing w:after="200" w:before="80" w:line="380"/>
        <w:ind w:firstLine="220"/>
        <w:jc w:val="left"/>
      </w:pPr>
      <w:r>
        <w:rPr>
          <w:rFonts w:ascii="游ゴシック" w:cs="游ゴシック" w:eastAsia="游ゴシック" w:hAnsi="游ゴシック"/>
          <w:b w:val="1"/>
          <w:bCs w:val="1"/>
          <w:i w:val="false"/>
          <w:iCs w:val="false"/>
          <w:sz w:val="22"/>
          <w:szCs w:val="22"/>
        </w:rPr>
        <w:t xml:space="preserve">我が国では、高齢化が急速に進展する中、誰もが住み慣れた地域で安心して暮らし続けることができる社会の実現が、極めて重要な課題となっております。本町におきましても、令和8年6月末時点で高齢化率が42.0%（総人口7,648人・うち65歳以上3,209人）に達し、宮城県内でも上位水準となるなど、高齢化の進行は加速度的に進んでおり、後期高齢者（75歳以上）の急増、独居高齢者・高齢者世帯の増加、介護人材の確保、認知症の方とご家族への支援など、多くの課題に直面しております。</w:t>
      </w:r>
    </w:p>
    <w:p>
      <w:pPr>
        <w:spacing w:after="200" w:before="80" w:line="380"/>
        <w:ind w:firstLine="220"/>
        <w:jc w:val="left"/>
      </w:pPr>
      <w:r>
        <w:rPr>
          <w:rFonts w:ascii="游ゴシック" w:cs="游ゴシック" w:eastAsia="游ゴシック" w:hAnsi="游ゴシック"/>
          <w:b w:val="1"/>
          <w:bCs w:val="1"/>
          <w:i w:val="false"/>
          <w:iCs w:val="false"/>
          <w:sz w:val="22"/>
          <w:szCs w:val="22"/>
        </w:rPr>
        <w:t xml:space="preserve">こうした中、本町ではこれまで第9期介護保険事業計画（令和6年度〜令和8年度）に基づき、地域包括支援センターを中心とした相談支援体制の整備、ユニバーサルサポーター制度による住民主体の地域づくり、認知症サポーター養成、福祉移送サービスやデマンドバス等による移動支援など、地域の特性を踏まえた取組を積み重ねてまいりました。</w:t>
      </w:r>
    </w:p>
    <w:p>
      <w:pPr>
        <w:spacing w:after="200" w:before="80" w:line="380"/>
        <w:ind w:firstLine="220"/>
        <w:jc w:val="left"/>
      </w:pPr>
      <w:r>
        <w:rPr>
          <w:rFonts w:ascii="游ゴシック" w:cs="游ゴシック" w:eastAsia="游ゴシック" w:hAnsi="游ゴシック"/>
          <w:b w:val="1"/>
          <w:bCs w:val="1"/>
          <w:i w:val="false"/>
          <w:iCs w:val="false"/>
          <w:sz w:val="22"/>
          <w:szCs w:val="22"/>
        </w:rPr>
        <w:t xml:space="preserve">このたび、令和9年度から令和11年度までの3年間を計画期間とする「川崎町高齢者保健福祉計画・第10期介護保険事業計画」を策定するにあたりましては、これまでの取組の成果を継承しつつ、令和6年1月に施行されました「共生社会の実現を推進するための認知症基本法」への対応として、認知症施策推進計画を独立章として新たに位置付けるとともに、町外医療機関との広域連携、福祉施設の地域偏在への対応、家族介護者支援、介護人材の確保といった本町固有の課題にも、正面から取り組む計画としております。</w:t>
      </w:r>
    </w:p>
    <w:p>
      <w:pPr>
        <w:spacing w:after="200" w:before="80" w:line="380"/>
        <w:ind w:firstLine="220"/>
        <w:jc w:val="left"/>
      </w:pPr>
      <w:r>
        <w:rPr>
          <w:rFonts w:ascii="游ゴシック" w:cs="游ゴシック" w:eastAsia="游ゴシック" w:hAnsi="游ゴシック"/>
          <w:b w:val="1"/>
          <w:bCs w:val="1"/>
          <w:i w:val="false"/>
          <w:iCs w:val="false"/>
          <w:sz w:val="22"/>
          <w:szCs w:val="22"/>
        </w:rPr>
        <w:t xml:space="preserve">本計画の基本理念である「誰もが健やかに暮らせるまちづくり」のもと、認知症になっても、誰もが自分らしく暮らせる地域共生社会の実現を目指し、町民の皆様、医療・介護・福祉関係者、地域の支え合いを担うサポーターの皆様、そして関係機関と力を合わせ、本計画を着実に推進してまいる所存でございます。</w:t>
      </w:r>
    </w:p>
    <w:p>
      <w:pPr>
        <w:spacing w:after="200" w:before="80" w:line="380"/>
        <w:ind w:firstLine="220"/>
        <w:jc w:val="left"/>
      </w:pPr>
      <w:r>
        <w:rPr>
          <w:rFonts w:ascii="游ゴシック" w:cs="游ゴシック" w:eastAsia="游ゴシック" w:hAnsi="游ゴシック"/>
          <w:b w:val="1"/>
          <w:bCs w:val="1"/>
          <w:i w:val="false"/>
          <w:iCs w:val="false"/>
          <w:sz w:val="22"/>
          <w:szCs w:val="22"/>
        </w:rPr>
        <w:t xml:space="preserve">結びに、本計画の策定にあたり、貴重なご意見をお寄せいただきました策定委員会委員の皆様、ニーズ調査にご協力いただきました町民の皆様、ならびに関係機関の皆様に、心より感謝を申し上げます。</w:t>
      </w:r>
    </w:p>
    <w:p>
      <w:pPr>
        <w:spacing w:after="80" w:before="720"/>
        <w:jc w:val="right"/>
      </w:pPr>
      <w:r>
        <w:rPr>
          <w:rFonts w:ascii="游ゴシック" w:cs="游ゴシック" w:eastAsia="游ゴシック" w:hAnsi="游ゴシック"/>
          <w:b w:val="1"/>
          <w:bCs w:val="1"/>
          <w:i w:val="false"/>
          <w:iCs w:val="false"/>
          <w:sz w:val="22"/>
          <w:szCs w:val="22"/>
        </w:rPr>
        <w:t xml:space="preserve">令和9年3月</w:t>
      </w:r>
    </w:p>
    <w:p>
      <w:pPr>
        <w:spacing w:after="80" w:before="240"/>
        <w:jc w:val="right"/>
      </w:pPr>
      <w:r>
        <w:rPr>
          <w:rFonts w:ascii="游ゴシック" w:cs="游ゴシック" w:eastAsia="游ゴシック" w:hAnsi="游ゴシック"/>
          <w:b w:val="1"/>
          <w:bCs w:val="1"/>
          <w:i w:val="false"/>
          <w:iCs w:val="false"/>
          <w:sz w:val="24"/>
          <w:szCs w:val="24"/>
        </w:rPr>
        <w:t xml:space="preserve">川崎町長　　　　　　　　　</w:t>
      </w:r>
    </w:p>
    <w:p>
      <w:pPr>
        <w:pageBreakBefore/>
        <w:spacing w:after="0" w:before="0" w:line="240"/>
      </w:pPr>
      <w:r>
        <w:rPr>
          <w:rFonts w:ascii="游ゴシック" w:cs="游ゴシック" w:eastAsia="游ゴシック" w:hAnsi="游ゴシック"/>
          <w:b w:val="false"/>
          <w:bCs w:val="false"/>
          <w:i w:val="false"/>
          <w:iCs w:val="false"/>
          <w:sz w:val="20"/>
          <w:szCs w:val="20"/>
        </w:rPr>
        <w:t xml:space="preserve"/>
      </w:r>
    </w:p>
    <w:p>
      <w:pPr>
        <w:spacing w:after="480" w:before="240" w:line="320"/>
        <w:jc w:val="center"/>
      </w:pPr>
      <w:r>
        <w:rPr>
          <w:rFonts w:ascii="游ゴシック" w:cs="游ゴシック" w:eastAsia="游ゴシック" w:hAnsi="游ゴシック"/>
          <w:b w:val="1"/>
          <w:bCs w:val="1"/>
          <w:i w:val="false"/>
          <w:iCs w:val="false"/>
          <w:sz w:val="36"/>
          <w:szCs w:val="36"/>
        </w:rPr>
        <w:t xml:space="preserve">目　次</w:t>
      </w:r>
    </w:p>
    <w:tbl>
      <w:tblPr>
        <w:tblW w:type="pct" w:w="9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ご挨拶（川崎町長）</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3</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第1章</w:t>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計画の策定にあたって</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3</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1-1．計画策定の背景と目的</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3</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1-2．計画の位置付け</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3</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1-3．計画の期間</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3</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1-4．計画策定の体制</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3</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第2章</w:t>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川崎町の高齢者を取り巻く現状</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3</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2-1．人口・世帯の現状</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3</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2-2．高齢者の状況</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3</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2-3．要介護認定とサービス利用の状況</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3</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2-4．介護給付費の状況</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3</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2-5．高齢者を取り巻く地域資源</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3</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2-6．調査結果からみた高齢者の状況</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3</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2-7．サービス供給体制の状況</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3</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第3章</w:t>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第9期計画の取組実績と評価</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3</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3-1．第9期計画の体系</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3</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3-2．主要施策の取組実績</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3</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3-3．評価指標の達成状況</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3</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3-4．第10期に向けた課題</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3</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第4章</w:t>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計画の基本理念と基本目標</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3</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4-1．基本理念（第9期踏襲）</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3</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4-2．施策の体系（7つの柱）</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3</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4-3．計画の重点ポイント（4つの重点）</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3</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4-4．計画の体系図</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3</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第5章</w:t>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施策の展開</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41</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5-1．健康づくりの推進（柱1）</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41</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5-2．高齢者が安心して暮らせるまちづくりの推進（柱2）</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43</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5-3．地域生活を支援する取り組みの充実（柱3）</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44</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5-4．地域支援事業の充実（柱4）</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47</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5-5．介護給付・介護予防給付サービスの充実（柱6）</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50</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第6章</w:t>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認知症施策推進計画</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53</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6-1．認知症基本法と川崎町の対応方針</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53</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6-2．認知症施策の体系（8基本的施策）</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57</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6-3．重点施策とKPI</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58</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6-4．認知症施策の体系（6節8項28事業）</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62</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第7章</w:t>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サービス提供体制と介護人材の確保</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68</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7-1．サービス提供体制の現状</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68</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7-2．供給の制約とその影響</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69</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7-3．見込量確保のための方策</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69</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7-4．介護人材の確保</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70</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7-5．介護現場の生産性向上</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70</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7-6．事業所との継続的な対話</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71</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第8章</w:t>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地域マネジメントの推進</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73</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8-1．介護サービスの質の向上</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73</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8-2．介護給付の適正化</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73</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8-3．計画値と実績値の乖離のモニタリングと公表</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74</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8-4．評価結果の活用と公表</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74</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8-5．情報提供・相談体制の充実</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75</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第9章</w:t>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介護保険サービス見込量と保険料</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76</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9-1．サービス見込量の推計</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76</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9-2．介護給付費の見込み</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83</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9-3．介護保険料の算定（8ステップ・3パターン）</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85</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第10章</w:t>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計画の推進体制と評価</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94</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10-1．推進体制</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94</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10-2．進行管理（PDCAサイクル）</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94</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10-3．計画の評価と見直し</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94</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10-4．KPI管理表</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95</w:t>
            </w:r>
          </w:p>
        </w:tc>
      </w:tr>
    </w:tbl>
    <w:p>
      <w:pPr>
        <w:spacing w:after="80" w:before="80" w:line="280"/>
        <w:ind w:left="288"/>
      </w:pPr>
      <w:r>
        <w:rPr>
          <w:rFonts w:ascii="游ゴシック" w:cs="游ゴシック" w:eastAsia="游ゴシック" w:hAnsi="游ゴシック"/>
          <w:i/>
          <w:iCs/>
          <w:sz w:val="19"/>
          <w:szCs w:val="19"/>
        </w:rPr>
        <w:t xml:space="preserve">⚠ 頁番号は、本素案Ver.2.3の組版によるものです。図表の差替え・加筆により頁の割付けが動いた場合は、目次の頁番号も併せて更新します。</w:t>
      </w:r>
    </w:p>
    <w:p>
      <w:pPr>
        <w:spacing w:after="80" w:before="80"/>
      </w:pPr>
      <w:r>
        <w:rPr>
          <w:rFonts w:ascii="游ゴシック" w:cs="游ゴシック" w:eastAsia="游ゴシック" w:hAnsi="游ゴシック"/>
          <w:b w:val="false"/>
          <w:bCs w:val="false"/>
          <w:i w:val="false"/>
          <w:iCs w:val="false"/>
          <w:sz w:val="21"/>
          <w:szCs w:val="21"/>
        </w:rPr>
        <w:t xml:space="preserve"/>
      </w:r>
    </w:p>
    <w:p>
      <w:pPr>
        <w:spacing w:after="80" w:before="50" w:line="320"/>
        <w:jc w:val="left"/>
      </w:pPr>
      <w:r>
        <w:rPr>
          <w:rFonts w:ascii="游ゴシック" w:cs="游ゴシック" w:eastAsia="游ゴシック" w:hAnsi="游ゴシック"/>
          <w:b w:val="false"/>
          <w:bCs w:val="false"/>
          <w:i/>
          <w:iCs/>
          <w:sz w:val="18"/>
          <w:szCs w:val="18"/>
        </w:rPr>
        <w:t xml:space="preserve">※本素案Ver.2.2は、令和8年6〜7月に実施した2調査（一般高齢者576件・要支援要介護認定者142件）の結果、令和8年9月1日に町からご提供いただいた実績データ、保険者機能強化推進交付金等の評価結果、及び令和8年9月2日の第1回策定委員会でのご意見を反映した版です。施策体系は、町からご提示いただいた「施策・事業の体系（案）」の章立てを基本とし認知症施策のみを独立章に引き上げるＣ案により、全7章17節37項143事業で構成しています。Ver.2.0で143事業を第5章・第6章・第8章に書き下ろし、Ver.2.1で第10期に内容が変わる42事業（新規23・拡充19）の根拠と内容を示しました。本版では、厚生労働省「都道府県・市町村向け認知症施策推進計画策定の手引き」及び認知症施策推進基本計画が市町村計画に求める記載事項と第6章を突き合わせ、「新しい認知症観」・本町が目指す姿・本人参画の進め方・部署横断的な検討の場・他の計画との連動・国の重点目標とKPIの対応を加えました。施策体系及び事業の追加は第2回策定委員会（令和8年11月）の選択1のご判断により確定し、介護給付費準備基金の取崩方針と令和9年度の介護報酬改定を踏まえ、第3回策定委員会（令和9年1月）で計画書（案）として確定します。</w:t>
      </w:r>
    </w:p>
    <w:p>
      <w:pPr>
        <w:pageBreakBefore/>
        <w:spacing w:after="0" w:before="0" w:line="240"/>
      </w:pPr>
      <w:r>
        <w:rPr>
          <w:rFonts w:ascii="游ゴシック" w:cs="游ゴシック" w:eastAsia="游ゴシック" w:hAnsi="游ゴシック"/>
          <w:b w:val="false"/>
          <w:bCs w:val="false"/>
          <w:i w:val="false"/>
          <w:iCs w:val="false"/>
          <w:sz w:val="20"/>
          <w:szCs w:val="20"/>
        </w:rPr>
        <w:t xml:space="preserve"/>
      </w:r>
    </w:p>
    <w:p>
      <w:pPr>
        <w:spacing w:after="0" w:before="240" w:line="320"/>
      </w:pPr>
      <w:r>
        <w:rPr>
          <w:rFonts w:ascii="游ゴシック" w:cs="游ゴシック" w:eastAsia="游ゴシック" w:hAnsi="游ゴシック"/>
          <w:b w:val="1"/>
          <w:bCs w:val="1"/>
          <w:i w:val="false"/>
          <w:iCs w:val="false"/>
          <w:sz w:val="30"/>
          <w:szCs w:val="30"/>
        </w:rPr>
        <w:t xml:space="preserve">第 1 章</w:t>
      </w:r>
    </w:p>
    <w:p>
      <w:pPr>
        <w:spacing w:after="140" w:before="0" w:line="320"/>
      </w:pPr>
      <w:r>
        <w:rPr>
          <w:rFonts w:ascii="游ゴシック" w:cs="游ゴシック" w:eastAsia="游ゴシック" w:hAnsi="游ゴシック"/>
          <w:b w:val="1"/>
          <w:bCs w:val="1"/>
          <w:i w:val="false"/>
          <w:iCs w:val="false"/>
          <w:sz w:val="30"/>
          <w:szCs w:val="30"/>
        </w:rPr>
        <w:t xml:space="preserve">計画の策定にあたって</w:t>
      </w:r>
    </w:p>
    <w:p>
      <w:pPr>
        <w:spacing w:after="200" w:before="200"/>
      </w:pPr>
      <w:r>
        <w:rPr>
          <w:rFonts w:ascii="游ゴシック" w:cs="游ゴシック" w:eastAsia="游ゴシック" w:hAnsi="游ゴシック"/>
          <w:i w:val="false"/>
          <w:iCs w:val="false"/>
          <w:sz w:val="21"/>
          <w:szCs w:val="21"/>
        </w:rPr>
        <w:t xml:space="preserve"/>
      </w:r>
    </w:p>
    <w:p>
      <w:pPr>
        <w:spacing w:after="100" w:before="200" w:line="320"/>
      </w:pPr>
      <w:r>
        <w:rPr>
          <w:rFonts w:ascii="游ゴシック" w:cs="游ゴシック" w:eastAsia="游ゴシック" w:hAnsi="游ゴシック"/>
          <w:b w:val="1"/>
          <w:bCs w:val="1"/>
          <w:i w:val="false"/>
          <w:iCs w:val="false"/>
          <w:sz w:val="25"/>
          <w:szCs w:val="25"/>
        </w:rPr>
        <w:t>1-1　計画策定の背景と目的</w:t>
      </w:r>
    </w:p>
    <w:p>
      <w:pPr>
        <w:spacing w:after="80" w:before="180" w:line="300"/>
      </w:pPr>
      <w:r>
        <w:rPr>
          <w:rFonts w:ascii="游ゴシック" w:cs="游ゴシック" w:eastAsia="游ゴシック" w:hAnsi="游ゴシック"/>
          <w:b w:val="1"/>
          <w:bCs w:val="1"/>
          <w:i w:val="false"/>
          <w:iCs w:val="false"/>
          <w:sz w:val="22"/>
          <w:szCs w:val="22"/>
        </w:rPr>
        <w:t xml:space="preserve">　▌ 介護保険制度の経緯と本計画の位置</w:t>
      </w:r>
    </w:p>
    <w:p>
      <w:pPr>
        <w:spacing w:after="80" w:before="50" w:line="320"/>
        <w:ind w:firstLine="200"/>
        <w:jc w:val="left"/>
      </w:pPr>
      <w:r>
        <w:rPr>
          <w:rFonts w:ascii="游ゴシック" w:cs="游ゴシック" w:eastAsia="游ゴシック" w:hAnsi="游ゴシック"/>
          <w:i w:val="false"/>
          <w:iCs w:val="false"/>
          <w:sz w:val="21"/>
          <w:szCs w:val="21"/>
        </w:rPr>
        <w:t xml:space="preserve">介護保険制度は平成12年4月に施行されて以降、3年を1期とする介護保険事業計画の策定を市町村に義務付けています。第1期から第9期までの25年間にわたり、川崎町でもこの計画策定を継続してきました。本計画は第10期に当たり、平成12年の制度施行から数えて10サイクル目の計画策定となります。</w:t>
      </w:r>
    </w:p>
    <w:p>
      <w:pPr>
        <w:spacing w:after="80" w:before="180" w:line="300"/>
      </w:pPr>
      <w:r>
        <w:rPr>
          <w:rFonts w:ascii="游ゴシック" w:cs="游ゴシック" w:eastAsia="游ゴシック" w:hAnsi="游ゴシック"/>
          <w:b w:val="1"/>
          <w:bCs w:val="1"/>
          <w:i w:val="false"/>
          <w:iCs w:val="false"/>
          <w:sz w:val="22"/>
          <w:szCs w:val="22"/>
        </w:rPr>
        <w:t xml:space="preserve">　▌ 我が国の高齢化と2040年問題</w:t>
      </w:r>
    </w:p>
    <w:p>
      <w:pPr>
        <w:spacing w:after="80" w:before="50" w:line="320"/>
        <w:ind w:firstLine="200"/>
        <w:jc w:val="left"/>
      </w:pPr>
      <w:r>
        <w:rPr>
          <w:rFonts w:ascii="游ゴシック" w:cs="游ゴシック" w:eastAsia="游ゴシック" w:hAnsi="游ゴシック"/>
          <w:i w:val="false"/>
          <w:iCs w:val="false"/>
          <w:sz w:val="21"/>
          <w:szCs w:val="21"/>
        </w:rPr>
        <w:t xml:space="preserve">我が国の高齢化は急速に進展しており、令和22年（2040年）には総人口に占める65歳以上人口の割合が約35%に達すると見込まれています。また、団塊の世代が75歳以上となる令和7年（2025年）を経て、令和22年（2040年）には団塊ジュニア世代（昭和46〜49年生まれ）も65歳以上に到達し、医療・介護需要のさらなる増加が見込まれています。これに対し生産年齢人口は減少を続けるため、介護人材確保とサービス効率化が全国的な課題です。</w:t>
      </w:r>
    </w:p>
    <w:p>
      <w:pPr>
        <w:spacing w:after="80" w:before="180" w:line="300"/>
      </w:pPr>
      <w:r>
        <w:rPr>
          <w:rFonts w:ascii="游ゴシック" w:cs="游ゴシック" w:eastAsia="游ゴシック" w:hAnsi="游ゴシック"/>
          <w:b w:val="1"/>
          <w:bCs w:val="1"/>
          <w:i w:val="false"/>
          <w:iCs w:val="false"/>
          <w:sz w:val="22"/>
          <w:szCs w:val="22"/>
        </w:rPr>
        <w:t xml:space="preserve">　▌ 川崎町の現状と課題</w:t>
      </w:r>
    </w:p>
    <w:p>
      <w:pPr>
        <w:spacing w:after="80" w:before="50" w:line="320"/>
        <w:ind w:firstLine="200"/>
        <w:jc w:val="left"/>
      </w:pPr>
      <w:r>
        <w:rPr>
          <w:rFonts w:ascii="游ゴシック" w:cs="游ゴシック" w:eastAsia="游ゴシック" w:hAnsi="游ゴシック"/>
          <w:i w:val="false"/>
          <w:iCs w:val="false"/>
          <w:sz w:val="21"/>
          <w:szCs w:val="21"/>
        </w:rPr>
        <w:t xml:space="preserve">川崎町では、令和8年6月末時点で高齢化率が42.0%（総人口7,648人・うち65歳以上3,209人）に達し、宮城県内でも上位水準の高齢化が進んでいます。中山間に位置する地理的特性、人口減少、独居高齢者・高齢者世帯の増加、介護人材の不足など、本町を取り巻く課題は多岐にわたります。第9期計画策定から3年が経過する中で、令和7年3月の高齢者外出タクシー助成事業の終了、介護施設の役場周辺偏在化、認知症基本法（令和6年1月施行）への対応など、新たな政策課題も生じています。</w:t>
      </w:r>
    </w:p>
    <w:p>
      <w:pPr>
        <w:spacing w:after="80" w:before="180" w:line="300"/>
      </w:pPr>
      <w:r>
        <w:rPr>
          <w:rFonts w:ascii="游ゴシック" w:cs="游ゴシック" w:eastAsia="游ゴシック" w:hAnsi="游ゴシック"/>
          <w:b w:val="1"/>
          <w:bCs w:val="1"/>
          <w:i w:val="false"/>
          <w:iCs w:val="false"/>
          <w:sz w:val="22"/>
          <w:szCs w:val="22"/>
        </w:rPr>
        <w:t xml:space="preserve">　▌ 本計画の目的</w:t>
      </w:r>
    </w:p>
    <w:p>
      <w:pPr>
        <w:spacing w:after="80" w:before="50" w:line="320"/>
        <w:ind w:firstLine="200"/>
        <w:jc w:val="left"/>
      </w:pPr>
      <w:r>
        <w:rPr>
          <w:rFonts w:ascii="游ゴシック" w:cs="游ゴシック" w:eastAsia="游ゴシック" w:hAnsi="游ゴシック"/>
          <w:i w:val="false"/>
          <w:iCs w:val="false"/>
          <w:sz w:val="21"/>
          <w:szCs w:val="21"/>
        </w:rPr>
        <w:t xml:space="preserve">こうした状況のもと、本計画は介護保険法第117条に基づく市町村介護保険事業計画として、また老人福祉法第20条の8に基づく市町村老人福祉計画として一体的に策定し、令和9年度から令和11年度までの3年間を計画期間として、本町の高齢者施策を総合的・計画的に推進することを目的とします。</w:t>
      </w:r>
    </w:p>
    <w:p>
      <w:pPr>
        <w:spacing w:after="80" w:before="50" w:line="320"/>
        <w:ind w:firstLine="200"/>
        <w:jc w:val="left"/>
      </w:pPr>
      <w:r>
        <w:rPr>
          <w:rFonts w:ascii="游ゴシック" w:cs="游ゴシック" w:eastAsia="游ゴシック" w:hAnsi="游ゴシック"/>
          <w:i w:val="false"/>
          <w:iCs w:val="false"/>
          <w:sz w:val="21"/>
          <w:szCs w:val="21"/>
        </w:rPr>
        <w:t xml:space="preserve">また、令和6年1月に施行された「共生社会の実現を推進するための認知症基本法」に基づき、市町村認知症施策推進計画を本計画に包含する形で、新たに独立章として位置付けることとしています。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本計画は、介護保険法・老人福祉法・認知症基本法の3つの法律に基づく一体的計画である。</w:t>
      </w:r>
    </w:p>
    <w:p>
      <w:pPr>
        <w:spacing w:after="100" w:before="200" w:line="320"/>
      </w:pPr>
      <w:r>
        <w:rPr>
          <w:rFonts w:ascii="游ゴシック" w:cs="游ゴシック" w:eastAsia="游ゴシック" w:hAnsi="游ゴシック"/>
          <w:b w:val="1"/>
          <w:bCs w:val="1"/>
          <w:i w:val="false"/>
          <w:iCs w:val="false"/>
          <w:sz w:val="25"/>
          <w:szCs w:val="25"/>
        </w:rPr>
        <w:t>1-2　計画の位置付け</w:t>
      </w:r>
    </w:p>
    <w:p>
      <w:pPr>
        <w:spacing w:after="80" w:before="50" w:line="320"/>
        <w:ind w:firstLine="200"/>
        <w:jc w:val="left"/>
      </w:pPr>
      <w:r>
        <w:rPr>
          <w:rFonts w:ascii="游ゴシック" w:cs="游ゴシック" w:eastAsia="游ゴシック" w:hAnsi="游ゴシック"/>
          <w:i w:val="false"/>
          <w:iCs w:val="false"/>
          <w:sz w:val="21"/>
          <w:szCs w:val="21"/>
        </w:rPr>
        <w:t xml:space="preserve">本計画は、以下の法令・上位計画・関連計画との整合を図りながら策定します。</w:t>
      </w:r>
    </w:p>
    <w:p>
      <w:pPr>
        <w:spacing w:after="80" w:before="180" w:line="300"/>
      </w:pPr>
      <w:r>
        <w:rPr>
          <w:rFonts w:ascii="游ゴシック" w:cs="游ゴシック" w:eastAsia="游ゴシック" w:hAnsi="游ゴシック"/>
          <w:b w:val="1"/>
          <w:bCs w:val="1"/>
          <w:i w:val="false"/>
          <w:iCs w:val="false"/>
          <w:sz w:val="22"/>
          <w:szCs w:val="22"/>
        </w:rPr>
        <w:t xml:space="preserve">　▌ 法令上の根拠</w:t>
      </w:r>
    </w:p>
    <w:p>
      <w:pPr>
        <w:spacing w:after="40" w:before="40" w:line="300"/>
        <w:ind w:left="431"/>
      </w:pPr>
      <w:r>
        <w:rPr>
          <w:rFonts w:ascii="游ゴシック" w:cs="游ゴシック" w:eastAsia="游ゴシック" w:hAnsi="游ゴシック"/>
          <w:i w:val="false"/>
          <w:iCs w:val="false"/>
          <w:sz w:val="21"/>
          <w:szCs w:val="21"/>
        </w:rPr>
        <w:t xml:space="preserve">①　</w:t>
      </w:r>
      <w:r>
        <w:rPr>
          <w:rFonts w:ascii="游ゴシック" w:cs="游ゴシック" w:eastAsia="游ゴシック" w:hAnsi="游ゴシック"/>
          <w:i w:val="false"/>
          <w:iCs w:val="false"/>
          <w:sz w:val="21"/>
          <w:szCs w:val="21"/>
        </w:rPr>
        <w:t xml:space="preserve">介護保険法第117条（市町村介護保険事業計画）</w:t>
      </w:r>
    </w:p>
    <w:p>
      <w:pPr>
        <w:spacing w:after="40" w:before="40" w:line="300"/>
        <w:ind w:left="431"/>
      </w:pPr>
      <w:r>
        <w:rPr>
          <w:rFonts w:ascii="游ゴシック" w:cs="游ゴシック" w:eastAsia="游ゴシック" w:hAnsi="游ゴシック"/>
          <w:i w:val="false"/>
          <w:iCs w:val="false"/>
          <w:sz w:val="21"/>
          <w:szCs w:val="21"/>
        </w:rPr>
        <w:t xml:space="preserve">②　</w:t>
      </w:r>
      <w:r>
        <w:rPr>
          <w:rFonts w:ascii="游ゴシック" w:cs="游ゴシック" w:eastAsia="游ゴシック" w:hAnsi="游ゴシック"/>
          <w:i w:val="false"/>
          <w:iCs w:val="false"/>
          <w:sz w:val="21"/>
          <w:szCs w:val="21"/>
        </w:rPr>
        <w:t xml:space="preserve">老人福祉法第20条の8（市町村老人福祉計画）</w:t>
      </w:r>
    </w:p>
    <w:p>
      <w:pPr>
        <w:spacing w:after="40" w:before="40" w:line="300"/>
        <w:ind w:left="431"/>
      </w:pPr>
      <w:r>
        <w:rPr>
          <w:rFonts w:ascii="游ゴシック" w:cs="游ゴシック" w:eastAsia="游ゴシック" w:hAnsi="游ゴシック"/>
          <w:i w:val="false"/>
          <w:iCs w:val="false"/>
          <w:sz w:val="21"/>
          <w:szCs w:val="21"/>
        </w:rPr>
        <w:t xml:space="preserve">③　共生社会の実現を推進するための認知症基本法第13条（市町村認知症施策推進計画）</w:t>
      </w:r>
      <w:r>
        <w:rPr>
          <w:rFonts w:ascii="游ゴシック" w:cs="游ゴシック" w:eastAsia="游ゴシック" w:hAnsi="游ゴシック"/>
          <w:i w:val="false"/>
          <w:iCs w:val="false"/>
          <w:sz w:val="21"/>
          <w:szCs w:val="21"/>
        </w:rPr>
        <w:t xml:space="preserve"/>
      </w:r>
    </w:p>
    <w:p>
      <w:pPr>
        <w:spacing w:after="80" w:before="180" w:line="300"/>
      </w:pPr>
      <w:r>
        <w:rPr>
          <w:rFonts w:ascii="游ゴシック" w:cs="游ゴシック" w:eastAsia="游ゴシック" w:hAnsi="游ゴシック"/>
          <w:b w:val="1"/>
          <w:bCs w:val="1"/>
          <w:i w:val="false"/>
          <w:iCs w:val="false"/>
          <w:sz w:val="22"/>
          <w:szCs w:val="22"/>
        </w:rPr>
        <w:t xml:space="preserve">　▌ 上位計画・関連計画との関係（認知症基本法第13条第2項の調和）</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区分</w:t>
            </w:r>
          </w:p>
        </w:tc>
        <w:tc>
          <w:tcPr>
            <w:tcW w:type="pct" w:w="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計画名</w:t>
            </w:r>
          </w:p>
        </w:tc>
        <w:tc>
          <w:tcPr>
            <w:tcW w:type="pct" w:w="4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整合の方針</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上位計画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第6次川崎町長期総合計画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町の総合的なまちづくり方針との整合を確保</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関連計画
（同時策定）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川崎町地域福祉計画（第3期）／川崎町障害者計画（同時策定）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3計画同時策定のメリットを活かし、移送サービス・重層的支援体制等の重複論点を整理して整合を確保（受託：ジャパン総研）</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健康関連計画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健康かわさき21計画／川崎町データヘルス計画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健康寿命延伸・介護予防の観点で項目相互参照</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社協計画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川崎町社会福祉協議会 地域福祉活動計画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社協独自計画。フレイル予防・介護予防事業のタイアップで連動（整合性確認は不要と整理）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国の指針</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介護保険事業に係る保険給付の円滑な実施を確保するための基本指針（厚労省告示）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国指針の3層整合（国→県→町）の原則に基づく</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県の計画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宮城県高齢者保健福祉計画・介護保険事業支援計画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県計画との整合（広域連携・人材確保）</w:t>
            </w:r>
          </w:p>
        </w:tc>
      </w:tr>
    </w:tbl>
    <w:p>
      <w:pPr>
        <w:spacing w:after="100" w:before="200" w:line="320"/>
      </w:pPr>
      <w:r>
        <w:rPr>
          <w:rFonts w:ascii="游ゴシック" w:cs="游ゴシック" w:eastAsia="游ゴシック" w:hAnsi="游ゴシック"/>
          <w:b w:val="1"/>
          <w:bCs w:val="1"/>
          <w:i w:val="false"/>
          <w:iCs w:val="false"/>
          <w:sz w:val="25"/>
          <w:szCs w:val="25"/>
        </w:rPr>
        <w:t>1-3　計画の期間</w:t>
      </w:r>
    </w:p>
    <w:p>
      <w:pPr>
        <w:spacing w:after="80" w:before="50" w:line="320"/>
        <w:ind w:firstLine="200"/>
        <w:jc w:val="left"/>
      </w:pPr>
      <w:r>
        <w:rPr>
          <w:rFonts w:ascii="游ゴシック" w:cs="游ゴシック" w:eastAsia="游ゴシック" w:hAnsi="游ゴシック"/>
          <w:i w:val="false"/>
          <w:iCs w:val="false"/>
          <w:sz w:val="21"/>
          <w:szCs w:val="21"/>
        </w:rPr>
        <w:t xml:space="preserve">本計画の計画期間は、令和9年度から令和11年度までの3年間です。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期間</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令和6年度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令和7年度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令和8年度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令和9年度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令和10年度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令和11年度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令和12年度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第9期</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第10期
（本計画）</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第11期</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r>
    </w:tbl>
    <w:p>
      <w:pPr>
        <w:spacing w:after="100" w:before="200" w:line="320"/>
      </w:pPr>
      <w:r>
        <w:rPr>
          <w:rFonts w:ascii="游ゴシック" w:cs="游ゴシック" w:eastAsia="游ゴシック" w:hAnsi="游ゴシック"/>
          <w:b w:val="1"/>
          <w:bCs w:val="1"/>
          <w:i w:val="false"/>
          <w:iCs w:val="false"/>
          <w:sz w:val="25"/>
          <w:szCs w:val="25"/>
        </w:rPr>
        <w:t>1-4　計画策定の体制</w:t>
      </w:r>
    </w:p>
    <w:p>
      <w:pPr>
        <w:spacing w:after="80" w:before="50" w:line="320"/>
        <w:ind w:firstLine="200"/>
        <w:jc w:val="left"/>
      </w:pPr>
      <w:r>
        <w:rPr>
          <w:rFonts w:ascii="游ゴシック" w:cs="游ゴシック" w:eastAsia="游ゴシック" w:hAnsi="游ゴシック"/>
          <w:i w:val="false"/>
          <w:iCs w:val="false"/>
          <w:sz w:val="21"/>
          <w:szCs w:val="21"/>
        </w:rPr>
        <w:t xml:space="preserve">本計画は、以下の体制で策定します。</w:t>
      </w:r>
    </w:p>
    <w:p>
      <w:pPr>
        <w:spacing w:after="80" w:before="180" w:line="300"/>
      </w:pPr>
      <w:r>
        <w:rPr>
          <w:rFonts w:ascii="游ゴシック" w:cs="游ゴシック" w:eastAsia="游ゴシック" w:hAnsi="游ゴシック"/>
          <w:b w:val="1"/>
          <w:bCs w:val="1"/>
          <w:i w:val="false"/>
          <w:iCs w:val="false"/>
          <w:sz w:val="22"/>
          <w:szCs w:val="22"/>
        </w:rPr>
        <w:t xml:space="preserve">　▌ 策定委員会</w:t>
      </w:r>
    </w:p>
    <w:p>
      <w:pPr>
        <w:spacing w:after="80" w:before="50" w:line="320"/>
        <w:ind w:firstLine="200"/>
        <w:jc w:val="left"/>
      </w:pPr>
      <w:r>
        <w:rPr>
          <w:rFonts w:ascii="游ゴシック" w:cs="游ゴシック" w:eastAsia="游ゴシック" w:hAnsi="游ゴシック"/>
          <w:i w:val="false"/>
          <w:iCs w:val="false"/>
          <w:sz w:val="21"/>
          <w:szCs w:val="21"/>
        </w:rPr>
        <w:t xml:space="preserve">被保険者代表・介護に関し学識又は経験を有する者・介護サービスに関する事業に従事する者から構成される策定委員会において、計画期間中4回（令和8年9月2日／令和8年11月／令和9年1月／令和9年2月）の審議を経て策定します。なお、条例・要綱上の設置根拠及び正式名称は確認中です（確認事項No.30）。</w:t>
      </w:r>
    </w:p>
    <w:p>
      <w:pPr>
        <w:spacing w:after="80" w:before="180" w:line="300"/>
      </w:pPr>
      <w:r>
        <w:rPr>
          <w:rFonts w:ascii="游ゴシック" w:cs="游ゴシック" w:eastAsia="游ゴシック" w:hAnsi="游ゴシック"/>
          <w:b w:val="1"/>
          <w:bCs w:val="1"/>
          <w:i w:val="false"/>
          <w:iCs w:val="false"/>
          <w:sz w:val="22"/>
          <w:szCs w:val="22"/>
        </w:rPr>
        <w:t xml:space="preserve">　▌ 住民意見の反映</w:t>
      </w:r>
    </w:p>
    <w:p>
      <w:pPr>
        <w:spacing w:after="80" w:before="50" w:line="320"/>
        <w:ind w:firstLine="200"/>
        <w:jc w:val="left"/>
      </w:pPr>
      <w:r>
        <w:rPr>
          <w:rFonts w:ascii="游ゴシック" w:cs="游ゴシック" w:eastAsia="游ゴシック" w:hAnsi="游ゴシック"/>
          <w:i w:val="false"/>
          <w:iCs w:val="false"/>
          <w:sz w:val="21"/>
          <w:szCs w:val="21"/>
        </w:rPr>
        <w:t xml:space="preserve">住民意見の反映として、本計画の策定にあたっては以下の取組を実施します。</w:t>
      </w:r>
    </w:p>
    <w:p>
      <w:pPr>
        <w:spacing w:after="40" w:before="40" w:line="300"/>
        <w:ind w:left="431"/>
      </w:pPr>
      <w:r>
        <w:rPr>
          <w:rFonts w:ascii="游ゴシック" w:cs="游ゴシック" w:eastAsia="游ゴシック" w:hAnsi="游ゴシック"/>
          <w:i w:val="false"/>
          <w:iCs w:val="false"/>
          <w:sz w:val="21"/>
          <w:szCs w:val="21"/>
        </w:rPr>
        <w:t xml:space="preserve">①　一般高齢者ニーズ調査（委託仕様書上の対象者数：65歳以上の高齢者1,000名。有効票576件）</w:t>
      </w:r>
      <w:r>
        <w:rPr>
          <w:rFonts w:ascii="游ゴシック" w:cs="游ゴシック" w:eastAsia="游ゴシック" w:hAnsi="游ゴシック"/>
          <w:i w:val="false"/>
          <w:iCs w:val="false"/>
          <w:sz w:val="21"/>
          <w:szCs w:val="21"/>
        </w:rPr>
        <w:t xml:space="preserve"/>
      </w:r>
    </w:p>
    <w:p>
      <w:pPr>
        <w:spacing w:after="40" w:before="40" w:line="300"/>
        <w:ind w:left="431"/>
      </w:pPr>
      <w:r>
        <w:rPr>
          <w:rFonts w:ascii="游ゴシック" w:cs="游ゴシック" w:eastAsia="游ゴシック" w:hAnsi="游ゴシック"/>
          <w:i w:val="false"/>
          <w:iCs w:val="false"/>
          <w:sz w:val="21"/>
          <w:szCs w:val="21"/>
        </w:rPr>
        <w:t xml:space="preserve">②　要支援・要介護認定者調査（委託仕様書上の対象者数：認定者300名。有効票142件）</w:t>
      </w:r>
      <w:r>
        <w:rPr>
          <w:rFonts w:ascii="游ゴシック" w:cs="游ゴシック" w:eastAsia="游ゴシック" w:hAnsi="游ゴシック"/>
          <w:i w:val="false"/>
          <w:iCs w:val="false"/>
          <w:sz w:val="21"/>
          <w:szCs w:val="21"/>
        </w:rPr>
        <w:t xml:space="preserve"/>
      </w:r>
    </w:p>
    <w:p>
      <w:pPr>
        <w:spacing w:after="40" w:before="40" w:line="300"/>
        <w:ind w:left="431"/>
      </w:pPr>
      <w:r>
        <w:rPr>
          <w:rFonts w:ascii="游ゴシック" w:cs="游ゴシック" w:eastAsia="游ゴシック" w:hAnsi="游ゴシック"/>
          <w:i w:val="false"/>
          <w:iCs w:val="false"/>
          <w:sz w:val="21"/>
          <w:szCs w:val="21"/>
        </w:rPr>
        <w:t xml:space="preserve">③　</w:t>
      </w:r>
      <w:r>
        <w:rPr>
          <w:rFonts w:ascii="游ゴシック" w:cs="游ゴシック" w:eastAsia="游ゴシック" w:hAnsi="游ゴシック"/>
          <w:i w:val="false"/>
          <w:iCs w:val="false"/>
          <w:sz w:val="21"/>
          <w:szCs w:val="21"/>
        </w:rPr>
        <w:t xml:space="preserve">認知症本人・家族の意見聴取（地域包括支援センター及び国保川崎病院経由）</w:t>
      </w:r>
    </w:p>
    <w:p>
      <w:pPr>
        <w:spacing w:after="80" w:before="50" w:line="320"/>
        <w:ind w:firstLine="200"/>
        <w:jc w:val="left"/>
      </w:pPr>
      <w:r>
        <w:rPr>
          <w:rFonts w:ascii="游ゴシック" w:cs="游ゴシック" w:eastAsia="游ゴシック" w:hAnsi="游ゴシック"/>
          <w:i w:val="false"/>
          <w:iCs w:val="false"/>
          <w:sz w:val="21"/>
          <w:szCs w:val="21"/>
        </w:rPr>
        <w:t xml:space="preserve">①②は令和8年6月から7月にかけて郵送により実施し、①は576件、②は142件の有効回答を得ました。結果は令和8年9月2日の第1回策定委員会で報告し、本計画の第2章2-6及び第5章の各施策に反映しています。③は今後実施します。</w:t>
      </w:r>
    </w:p>
    <w:p>
      <w:pPr>
        <w:spacing w:after="80" w:before="180" w:line="300"/>
      </w:pPr>
      <w:r>
        <w:rPr>
          <w:rFonts w:ascii="游ゴシック" w:cs="游ゴシック" w:eastAsia="游ゴシック" w:hAnsi="游ゴシック"/>
          <w:b w:val="1"/>
          <w:bCs w:val="1"/>
          <w:i w:val="false"/>
          <w:iCs w:val="false"/>
          <w:sz w:val="22"/>
          <w:szCs w:val="22"/>
        </w:rPr>
        <w:t xml:space="preserve">　▌ 関係機関等との連携</w:t>
      </w:r>
    </w:p>
    <w:p>
      <w:pPr>
        <w:spacing w:after="80" w:before="50" w:line="320"/>
        <w:ind w:firstLine="200"/>
        <w:jc w:val="left"/>
      </w:pPr>
      <w:r>
        <w:rPr>
          <w:rFonts w:ascii="游ゴシック" w:cs="游ゴシック" w:eastAsia="游ゴシック" w:hAnsi="游ゴシック"/>
          <w:i w:val="false"/>
          <w:iCs w:val="false"/>
          <w:sz w:val="21"/>
          <w:szCs w:val="21"/>
        </w:rPr>
        <w:t xml:space="preserve">計画策定にあたっては、川崎町社会福祉協議会、川崎町地域包括支援センター、国民健康保険川崎病院、町内介護事業所、民生委員等との連携・協議を行います。また、地域福祉計画・障害者計画と同時策定中であることを踏まえ、計画間の整合確保のための情報共有・調整を行います。</w:t>
      </w:r>
    </w:p>
    <w:p>
      <w:pPr>
        <w:pageBreakBefore/>
        <w:spacing w:after="0" w:before="0" w:line="240"/>
      </w:pPr>
      <w:r>
        <w:rPr>
          <w:rFonts w:ascii="游ゴシック" w:cs="游ゴシック" w:eastAsia="游ゴシック" w:hAnsi="游ゴシック"/>
          <w:i w:val="false"/>
          <w:iCs w:val="false"/>
          <w:sz w:val="21"/>
          <w:szCs w:val="21"/>
        </w:rPr>
        <w:t xml:space="preserve"/>
      </w:r>
    </w:p>
    <w:p>
      <w:pPr>
        <w:spacing w:after="0" w:before="240" w:line="320"/>
      </w:pPr>
      <w:r>
        <w:rPr>
          <w:rFonts w:ascii="游ゴシック" w:cs="游ゴシック" w:eastAsia="游ゴシック" w:hAnsi="游ゴシック"/>
          <w:b w:val="1"/>
          <w:bCs w:val="1"/>
          <w:i w:val="false"/>
          <w:iCs w:val="false"/>
          <w:sz w:val="30"/>
          <w:szCs w:val="30"/>
        </w:rPr>
        <w:t xml:space="preserve">第 2 章</w:t>
      </w:r>
    </w:p>
    <w:p>
      <w:pPr>
        <w:spacing w:after="140" w:before="0" w:line="320"/>
      </w:pPr>
      <w:r>
        <w:rPr>
          <w:rFonts w:ascii="游ゴシック" w:cs="游ゴシック" w:eastAsia="游ゴシック" w:hAnsi="游ゴシック"/>
          <w:b w:val="1"/>
          <w:bCs w:val="1"/>
          <w:i w:val="false"/>
          <w:iCs w:val="false"/>
          <w:sz w:val="30"/>
          <w:szCs w:val="30"/>
        </w:rPr>
        <w:t xml:space="preserve">川崎町の高齢者を取り巻く現状</w:t>
      </w:r>
    </w:p>
    <w:p>
      <w:pPr>
        <w:spacing w:after="200" w:before="200"/>
      </w:pPr>
      <w:r>
        <w:rPr>
          <w:rFonts w:ascii="游ゴシック" w:cs="游ゴシック" w:eastAsia="游ゴシック" w:hAnsi="游ゴシック"/>
          <w:i w:val="false"/>
          <w:iCs w:val="false"/>
          <w:sz w:val="21"/>
          <w:szCs w:val="21"/>
        </w:rPr>
        <w:t xml:space="preserve"/>
      </w:r>
    </w:p>
    <w:p>
      <w:pPr>
        <w:spacing w:after="100" w:before="200" w:line="320"/>
      </w:pPr>
      <w:r>
        <w:rPr>
          <w:rFonts w:ascii="游ゴシック" w:cs="游ゴシック" w:eastAsia="游ゴシック" w:hAnsi="游ゴシック"/>
          <w:b w:val="1"/>
          <w:bCs w:val="1"/>
          <w:i w:val="false"/>
          <w:iCs w:val="false"/>
          <w:sz w:val="25"/>
          <w:szCs w:val="25"/>
        </w:rPr>
        <w:t>2-1　人口・世帯の現状</w:t>
      </w:r>
    </w:p>
    <w:p>
      <w:pPr>
        <w:spacing w:after="80" w:before="50" w:line="320"/>
        <w:ind w:firstLine="200"/>
        <w:jc w:val="left"/>
      </w:pPr>
      <w:r>
        <w:rPr>
          <w:rFonts w:ascii="游ゴシック" w:cs="游ゴシック" w:eastAsia="游ゴシック" w:hAnsi="游ゴシック"/>
          <w:i w:val="false"/>
          <w:iCs w:val="false"/>
          <w:sz w:val="21"/>
          <w:szCs w:val="21"/>
        </w:rPr>
        <w:t xml:space="preserve">川崎町は、宮城県南西部の柴田郡に位置し、蔵王連峰のふもとに広がる中山間の町です。町の総面積は約270km²で、町域の約85%を山林が占めています。日常生活圏域は1圏域とし、町内を7地区（裏丁上下・本荒町中新町／前川青根／今宿／川内／本砂金／小野／小沢支倉碁石支倉台）に区分しています。</w:t>
      </w:r>
    </w:p>
    <w:p>
      <w:pPr>
        <w:spacing w:after="80" w:before="180" w:line="300"/>
      </w:pPr>
      <w:r>
        <w:rPr>
          <w:rFonts w:ascii="游ゴシック" w:cs="游ゴシック" w:eastAsia="游ゴシック" w:hAnsi="游ゴシック"/>
          <w:b w:val="1"/>
          <w:bCs w:val="1"/>
          <w:i w:val="false"/>
          <w:iCs w:val="false"/>
          <w:sz w:val="22"/>
          <w:szCs w:val="22"/>
        </w:rPr>
        <w:t xml:space="preserve">　▌ 第1号被保険者数の推移</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区分</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令和3年度末</w:t>
              <w:br/>
              <w:t xml:space="preserve">（2022.3）</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令和7年度末</w:t>
              <w:br/>
              <w:t xml:space="preserve">（2026.3）</w:t>
            </w:r>
          </w:p>
        </w:tc>
        <w:tc>
          <w:tcPr>
            <w:tcW w:type="pct" w:w="1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増減数</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増減率</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65〜75歳未満（前期高齢者）</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1,745人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1,498人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△247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△14.2%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75〜85歳未満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905人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1,142人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+237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+26.2%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85歳以上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605人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600人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3,255人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3,240人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（再掲）後期高齢者75歳以上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1,510人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1,742人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+232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+15.4%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（再掲）住所地特例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34人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24人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△29.4%</w:t>
            </w:r>
          </w:p>
        </w:tc>
      </w:tr>
    </w:tbl>
    <w:p>
      <w:pPr>
        <w:spacing w:after="80" w:before="30" w:line="260"/>
        <w:jc w:val="right"/>
      </w:pPr>
      <w:r>
        <w:rPr>
          <w:rFonts w:ascii="游ゴシック" w:cs="游ゴシック" w:eastAsia="游ゴシック" w:hAnsi="游ゴシック"/>
          <w:i/>
          <w:iCs/>
          <w:sz w:val="17"/>
          <w:szCs w:val="17"/>
        </w:rPr>
        <w:t xml:space="preserve">出典：介護保険事業状況報告（保険者データ R8.3月分・年報データR3年度）</w:t>
      </w:r>
    </w:p>
    <w:p>
      <w:pPr>
        <w:spacing w:after="60" w:before="120"/>
        <w:jc w:val="center"/>
      </w:pPr>
      <w:r>
        <w:rPr>
          <w:sz w:val="21"/>
          <w:szCs w:val="21"/>
        </w:rPr>
        <w:drawing>
          <wp:inline distT="0" distB="0" distL="0" distR="0">
            <wp:extent cx="5143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3238500"/>
                    </a:xfrm>
                    <a:prstGeom prst="rect">
                      <a:avLst/>
                    </a:prstGeom>
                  </pic:spPr>
                </pic:pic>
              </a:graphicData>
            </a:graphic>
          </wp:inline>
        </w:drawing>
      </w:r>
    </w:p>
    <w:p>
      <w:pPr>
        <w:spacing w:after="200" w:before="0" w:line="280"/>
        <w:jc w:val="center"/>
      </w:pPr>
      <w:r>
        <w:rPr>
          <w:rFonts w:ascii="游ゴシック" w:cs="游ゴシック" w:eastAsia="游ゴシック" w:hAnsi="游ゴシック"/>
          <w:b w:val="1"/>
          <w:bCs w:val="1"/>
          <w:i w:val="false"/>
          <w:iCs w:val="false"/>
          <w:sz w:val="18"/>
          <w:szCs w:val="18"/>
        </w:rPr>
        <w:t xml:space="preserve">図2-1　第1号被保険者の年齢階級別推移（令和3年度末→令和7年度末）</w:t>
      </w:r>
    </w:p>
    <w:p>
      <w:pPr>
        <w:spacing w:after="80" w:before="80" w:line="280"/>
        <w:ind w:left="288"/>
      </w:pPr>
      <w:r>
        <w:rPr>
          <w:rFonts w:ascii="游ゴシック" w:cs="游ゴシック" w:eastAsia="游ゴシック" w:hAnsi="游ゴシック"/>
          <w:b w:val="1"/>
          <w:bCs w:val="1"/>
          <w:i w:val="false"/>
          <w:iCs w:val="false"/>
          <w:sz w:val="20"/>
          <w:szCs w:val="20"/>
        </w:rPr>
        <w:t xml:space="preserve">● 第1号被保険者総数はほぼ横ばいだが、後期高齢者（75歳以上）は4年で15.4％増加。年齢構成の高齢化が進行している。</w:t>
      </w:r>
    </w:p>
    <w:p>
      <w:pPr>
        <w:spacing w:after="80" w:before="50" w:line="320"/>
        <w:ind w:firstLine="200"/>
        <w:jc w:val="left"/>
      </w:pPr>
      <w:r>
        <w:rPr>
          <w:rFonts w:ascii="游ゴシック" w:cs="游ゴシック" w:eastAsia="游ゴシック" w:hAnsi="游ゴシック"/>
          <w:i w:val="false"/>
          <w:iCs w:val="false"/>
          <w:sz w:val="21"/>
          <w:szCs w:val="21"/>
        </w:rPr>
        <w:t xml:space="preserve">第1号被保険者数の総数は令和3年度末3,255人から令和7年度末3,240人と微減ですが、内訳を見ると前期高齢者（65〜75歳未満）が14.2％減少する一方、後期高齢者（75歳以上）は15.4％増加しており、年齢構成の高齢化が顕著に進んでいます。後期高齢者は要介護認定率が前期高齢者の約4〜5倍となるため、今後の認定者数・サービス需要の増加が見込まれます。</w:t>
      </w:r>
    </w:p>
    <w:p>
      <w:pPr>
        <w:spacing w:after="80" w:before="50" w:line="320"/>
        <w:ind w:firstLine="200"/>
        <w:jc w:val="left"/>
      </w:pPr>
      <w:r>
        <w:rPr>
          <w:rFonts w:ascii="游ゴシック" w:cs="游ゴシック" w:eastAsia="游ゴシック" w:hAnsi="游ゴシック"/>
          <w:i w:val="false"/>
          <w:iCs w:val="false"/>
          <w:sz w:val="21"/>
          <w:szCs w:val="21"/>
        </w:rPr>
        <w:t xml:space="preserve">特に75歳以上85歳未満の階層が令和3年度末905人から令和7年度末1,142人と4年で237人（＋26.2％）増加していることは、団塊の世代（昭和22〜24年生まれ）が当該年齢階層に到達したことによる影響と考えられます。今後も後期高齢者前段の人口圧力は継続するため、認知症・要介護認定者の増加とサービス需要の伸びへの対応が第10期計画の重要課題となります。</w:t>
      </w:r>
    </w:p>
    <w:p>
      <w:pPr>
        <w:spacing w:after="80" w:before="180" w:line="300"/>
      </w:pPr>
      <w:r>
        <w:rPr>
          <w:rFonts w:ascii="游ゴシック" w:cs="游ゴシック" w:eastAsia="游ゴシック" w:hAnsi="游ゴシック"/>
          <w:b w:val="1"/>
          <w:bCs w:val="1"/>
          <w:i w:val="false"/>
          <w:iCs w:val="false"/>
          <w:sz w:val="22"/>
          <w:szCs w:val="22"/>
        </w:rPr>
        <w:t xml:space="preserve">　▌ 人口動態（令和7年度）</w:t>
      </w:r>
    </w:p>
    <w:p>
      <w:pPr>
        <w:spacing w:after="30" w:before="30" w:line="300"/>
        <w:ind w:left="431"/>
      </w:pPr>
      <w:r>
        <w:rPr>
          <w:rFonts w:ascii="游ゴシック" w:cs="游ゴシック" w:eastAsia="游ゴシック" w:hAnsi="游ゴシック"/>
          <w:i w:val="false"/>
          <w:iCs w:val="false"/>
          <w:sz w:val="21"/>
          <w:szCs w:val="21"/>
        </w:rPr>
        <w:t xml:space="preserve">・年度中の増：153人（うち65歳到達119人・転入21人・その他13人）</w:t>
      </w:r>
    </w:p>
    <w:p>
      <w:pPr>
        <w:spacing w:after="30" w:before="30" w:line="300"/>
        <w:ind w:left="431"/>
      </w:pPr>
      <w:r>
        <w:rPr>
          <w:rFonts w:ascii="游ゴシック" w:cs="游ゴシック" w:eastAsia="游ゴシック" w:hAnsi="游ゴシック"/>
          <w:i w:val="false"/>
          <w:iCs w:val="false"/>
          <w:sz w:val="21"/>
          <w:szCs w:val="21"/>
        </w:rPr>
        <w:t xml:space="preserve">・年度中の減：172人（うち死亡137人・転出32人・その他3人）</w:t>
      </w:r>
    </w:p>
    <w:p>
      <w:pPr>
        <w:spacing w:after="30" w:before="30" w:line="300"/>
        <w:ind w:left="431"/>
      </w:pPr>
      <w:r>
        <w:rPr>
          <w:rFonts w:ascii="游ゴシック" w:cs="游ゴシック" w:eastAsia="游ゴシック" w:hAnsi="游ゴシック"/>
          <w:i w:val="false"/>
          <w:iCs w:val="false"/>
          <w:sz w:val="21"/>
          <w:szCs w:val="21"/>
        </w:rPr>
        <w:t xml:space="preserve">・自然動態は減少局面（死亡137人＞65歳到達119人）に入っており、第1号被保険者数は今後緩やかに減少する見込みです。令和7年度は年間で19人の純減となりました。</w:t>
      </w:r>
    </w:p>
    <w:p>
      <w:pPr>
        <w:spacing w:after="80" w:before="180" w:line="300"/>
      </w:pPr>
      <w:r>
        <w:rPr>
          <w:rFonts w:ascii="游ゴシック" w:cs="游ゴシック" w:eastAsia="游ゴシック" w:hAnsi="游ゴシック"/>
          <w:b w:val="1"/>
          <w:bCs w:val="1"/>
          <w:i w:val="false"/>
          <w:iCs w:val="false"/>
          <w:sz w:val="22"/>
          <w:szCs w:val="22"/>
        </w:rPr>
        <w:t xml:space="preserve">　▌ 世帯の状況</w:t>
      </w:r>
    </w:p>
    <w:p>
      <w:pPr>
        <w:spacing w:after="80" w:before="50" w:line="320"/>
        <w:ind w:firstLine="200"/>
        <w:jc w:val="left"/>
      </w:pPr>
      <w:r>
        <w:rPr>
          <w:rFonts w:ascii="游ゴシック" w:cs="游ゴシック" w:eastAsia="游ゴシック" w:hAnsi="游ゴシック"/>
          <w:i w:val="false"/>
          <w:iCs w:val="false"/>
          <w:sz w:val="21"/>
          <w:szCs w:val="21"/>
        </w:rPr>
        <w:t xml:space="preserve">令和3年度末時点で、第1号被保険者のいる世帯数は2,181世帯です。キックオフ会議では、独居高齢者・高齢者夫婦のみ世帯に加え、未婚の子と高齢の親が同居する世帯における老老介護や8050問題が町の課題として挙げられています。</w:t>
      </w:r>
    </w:p>
    <w:p>
      <w:pPr>
        <w:spacing w:after="80" w:before="80" w:line="280"/>
        <w:ind w:left="288"/>
      </w:pPr>
      <w:r>
        <w:rPr>
          <w:rFonts w:ascii="游ゴシック" w:cs="游ゴシック" w:eastAsia="游ゴシック" w:hAnsi="游ゴシック"/>
          <w:i/>
          <w:iCs/>
          <w:sz w:val="21"/>
          <w:szCs w:val="21"/>
        </w:rPr>
        <w:t xml:space="preserve">世帯類型の詳細は、令和8年6〜7月に実施した一般高齢者ニーズ調査により把握しました。「夫婦2人暮らし（配偶者65歳以上）」が33.5％で最も多く、「1人暮らし」が14.7％、「息子・娘との2世帯」が23.0％、「その他」が24.1％です（n=564）。高齢者のみの世帯（1人暮らし＋夫婦2人暮らし・配偶者65歳以上）は48.2％、配偶者が64歳以下の世帯を含めると52.8％と、およそ半数を占めます。詳細は2-6に示します。</w:t>
      </w:r>
    </w:p>
    <w:p>
      <w:pPr>
        <w:spacing w:after="100" w:before="200" w:line="320"/>
      </w:pPr>
      <w:r>
        <w:rPr>
          <w:rFonts w:ascii="游ゴシック" w:cs="游ゴシック" w:eastAsia="游ゴシック" w:hAnsi="游ゴシック"/>
          <w:b w:val="1"/>
          <w:bCs w:val="1"/>
          <w:i w:val="false"/>
          <w:iCs w:val="false"/>
          <w:sz w:val="25"/>
          <w:szCs w:val="25"/>
        </w:rPr>
        <w:t>2-2　高齢者の状況</w:t>
      </w:r>
    </w:p>
    <w:p>
      <w:pPr>
        <w:spacing w:after="80" w:before="180" w:line="300"/>
      </w:pPr>
      <w:r>
        <w:rPr>
          <w:rFonts w:ascii="游ゴシック" w:cs="游ゴシック" w:eastAsia="游ゴシック" w:hAnsi="游ゴシック"/>
          <w:b w:val="1"/>
          <w:bCs w:val="1"/>
          <w:i w:val="false"/>
          <w:iCs w:val="false"/>
          <w:sz w:val="22"/>
          <w:szCs w:val="22"/>
        </w:rPr>
        <w:t xml:space="preserve">　▌ 高齢化率</w:t>
      </w:r>
    </w:p>
    <w:p>
      <w:pPr>
        <w:spacing w:after="80" w:before="50" w:line="320"/>
        <w:ind w:firstLine="200"/>
        <w:jc w:val="left"/>
      </w:pPr>
      <w:r>
        <w:rPr>
          <w:rFonts w:ascii="游ゴシック" w:cs="游ゴシック" w:eastAsia="游ゴシック" w:hAnsi="游ゴシック"/>
          <w:i w:val="false"/>
          <w:iCs w:val="false"/>
          <w:sz w:val="21"/>
          <w:szCs w:val="21"/>
        </w:rPr>
        <w:t xml:space="preserve">川崎町の高齢化率は、直近の令和8年6月末時点で42.0%（総人口7,648人・うち65歳以上3,209人）に達しています。第9期計画が令和8年について推計していた42.6%を0.6ポイント下回るものの、全国平均・宮城県平均を大きく上回る水準です。県内順位を比較できる令和7年3月31日時点では41.4%であり、宮城県内35市町村中5位でした（図2-5）。</w:t>
      </w:r>
    </w:p>
    <w:p>
      <w:pPr>
        <w:spacing w:after="60" w:before="120"/>
        <w:jc w:val="center"/>
      </w:pPr>
      <w:r>
        <w:rPr>
          <w:sz w:val="21"/>
          <w:szCs w:val="21"/>
        </w:rP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2857500"/>
                    </a:xfrm>
                    <a:prstGeom prst="rect">
                      <a:avLst/>
                    </a:prstGeom>
                  </pic:spPr>
                </pic:pic>
              </a:graphicData>
            </a:graphic>
          </wp:inline>
        </w:drawing>
      </w:r>
    </w:p>
    <w:p>
      <w:pPr>
        <w:spacing w:after="200" w:before="0" w:line="280"/>
        <w:jc w:val="center"/>
      </w:pPr>
      <w:r>
        <w:rPr>
          <w:rFonts w:ascii="游ゴシック" w:cs="游ゴシック" w:eastAsia="游ゴシック" w:hAnsi="游ゴシック"/>
          <w:b w:val="1"/>
          <w:bCs w:val="1"/>
          <w:i w:val="false"/>
          <w:iCs w:val="false"/>
          <w:sz w:val="18"/>
          <w:szCs w:val="18"/>
        </w:rPr>
        <w:t xml:space="preserve">図2-5　高齢化率比較（令和7年3月31日時点）</w:t>
      </w:r>
    </w:p>
    <w:p>
      <w:pPr>
        <w:spacing w:after="80" w:before="80" w:line="280"/>
        <w:ind w:left="288"/>
      </w:pPr>
      <w:r>
        <w:rPr>
          <w:rFonts w:ascii="游ゴシック" w:cs="游ゴシック" w:eastAsia="游ゴシック" w:hAnsi="游ゴシック"/>
          <w:b w:val="1"/>
          <w:bCs w:val="1"/>
          <w:i w:val="false"/>
          <w:iCs w:val="false"/>
          <w:sz w:val="20"/>
          <w:szCs w:val="20"/>
        </w:rPr>
        <w:t xml:space="preserve">● 高齢化率は令和8年6月末時点で42.0%。県内順位を比較できる令和7年3月31日時点では41.4%で県内5位。中山間地域・人口減少地域としての特性を踏まえた施策展開が求められる。</w:t>
      </w:r>
    </w:p>
    <w:p>
      <w:pPr>
        <w:spacing w:after="80" w:before="50" w:line="320"/>
        <w:ind w:firstLine="200"/>
        <w:jc w:val="left"/>
      </w:pPr>
      <w:r>
        <w:rPr>
          <w:rFonts w:ascii="游ゴシック" w:cs="游ゴシック" w:eastAsia="游ゴシック" w:hAnsi="游ゴシック"/>
          <w:i w:val="false"/>
          <w:iCs w:val="false"/>
          <w:sz w:val="21"/>
          <w:szCs w:val="21"/>
        </w:rPr>
        <w:t xml:space="preserve">川崎町は宮城県南部の中山間地域に位置し、人口減少と高齢化が同時進行する典型的な小規模町です。蔵王連峰のふもとに点在する集落構造、町域の約85%を占める山林、第二次産業従事者の減少といった地理的・社会的特性が、高齢化の急速な進行と地域偏在を生み出す要因となっています。第10期計画では、こうした地域特性を踏まえ、移動支援・地域見守り・広域連携を計画の柱に据えます。</w:t>
      </w:r>
    </w:p>
    <w:p>
      <w:pPr>
        <w:spacing w:after="80" w:before="180" w:line="300"/>
      </w:pPr>
      <w:r>
        <w:rPr>
          <w:rFonts w:ascii="游ゴシック" w:cs="游ゴシック" w:eastAsia="游ゴシック" w:hAnsi="游ゴシック"/>
          <w:b w:val="1"/>
          <w:bCs w:val="1"/>
          <w:i w:val="false"/>
          <w:iCs w:val="false"/>
          <w:sz w:val="22"/>
          <w:szCs w:val="22"/>
        </w:rPr>
        <w:t xml:space="preserve">　▌ 所得段階別第1号被保険者の構成</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段階</w:t>
            </w:r>
          </w:p>
        </w:tc>
        <w:tc>
          <w:tcPr>
            <w:tcW w:type="pct" w:w="4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区分</w:t>
            </w:r>
          </w:p>
        </w:tc>
        <w:tc>
          <w:tcPr>
            <w:tcW w:type="pct" w:w="15%"/>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人数</w:t>
            </w:r>
          </w:p>
        </w:tc>
        <w:tc>
          <w:tcPr>
            <w:tcW w:type="pct" w:w="15%"/>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構成比</w:t>
            </w:r>
          </w:p>
        </w:tc>
        <w:tc>
          <w:tcPr>
            <w:tcW w:type="pct"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分類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第1段階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世帯非課税（年金80.9万円以下）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383人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11.8%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非課税層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第2段階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世帯非課税（年金80.9〜120万円）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298人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非課税層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第3段階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世帯非課税（年金120万円超）</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305人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9.4%</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非課税層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第4段階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本人非課税・世帯課税（年金80.9万円以下）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343人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10.6%</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本人非課税</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第5段階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本人非課税・世帯課税（基準）</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679人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21.0%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本人非課税</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第6段階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本人課税（合計所得120万円未満）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410人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12.7%</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第7段階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本人課税（120〜210万円）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427人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13.2%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第8段階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本人課税（210〜320万円）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232人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第9段階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本人課税（320〜420万円）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2.6%</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第10段階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本人課税（420〜520万円）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26人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第11段階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本人課税（520〜620万円）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第12段階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本人課税（620〜720万円）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第13段階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本人課税（720万円以上）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28人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3,240人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r>
    </w:tbl>
    <w:p>
      <w:pPr>
        <w:spacing w:after="80" w:before="30" w:line="260"/>
        <w:jc w:val="right"/>
      </w:pPr>
      <w:r>
        <w:rPr>
          <w:rFonts w:ascii="游ゴシック" w:cs="游ゴシック" w:eastAsia="游ゴシック" w:hAnsi="游ゴシック"/>
          <w:i/>
          <w:iCs/>
          <w:sz w:val="17"/>
          <w:szCs w:val="17"/>
        </w:rPr>
        <w:t xml:space="preserve">出典：介護保険事業状況報告（年報・令和7年度／様式1 所得段階別・年度末現在被保険者数）</w:t>
      </w:r>
    </w:p>
    <w:p>
      <w:pPr>
        <w:spacing w:after="60" w:before="120"/>
        <w:jc w:val="center"/>
      </w:pPr>
      <w:r>
        <w:rPr>
          <w:sz w:val="21"/>
          <w:szCs w:val="21"/>
        </w:rPr>
        <w:drawing>
          <wp:inline distT="0" distB="0" distL="0" distR="0">
            <wp:extent cx="5334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048000"/>
                    </a:xfrm>
                    <a:prstGeom prst="rect">
                      <a:avLst/>
                    </a:prstGeom>
                  </pic:spPr>
                </pic:pic>
              </a:graphicData>
            </a:graphic>
          </wp:inline>
        </w:drawing>
      </w:r>
    </w:p>
    <w:p>
      <w:pPr>
        <w:spacing w:after="200" w:before="0" w:line="280"/>
        <w:jc w:val="center"/>
      </w:pPr>
      <w:r>
        <w:rPr>
          <w:rFonts w:ascii="游ゴシック" w:cs="游ゴシック" w:eastAsia="游ゴシック" w:hAnsi="游ゴシック"/>
          <w:b w:val="1"/>
          <w:bCs w:val="1"/>
          <w:i w:val="false"/>
          <w:iCs w:val="false"/>
          <w:sz w:val="18"/>
          <w:szCs w:val="18"/>
        </w:rPr>
        <w:t xml:space="preserve">図2-4　所得段階別第1号被保険者の構成（令和7年度末・計3,240人）</w:t>
      </w:r>
    </w:p>
    <w:p>
      <w:pPr>
        <w:spacing w:after="80" w:before="50" w:line="320"/>
        <w:ind w:firstLine="200"/>
        <w:jc w:val="left"/>
      </w:pPr>
      <w:r>
        <w:rPr>
          <w:rFonts w:ascii="游ゴシック" w:cs="游ゴシック" w:eastAsia="游ゴシック" w:hAnsi="游ゴシック"/>
          <w:i w:val="false"/>
          <w:iCs w:val="false"/>
          <w:sz w:val="21"/>
          <w:szCs w:val="21"/>
        </w:rPr>
        <w:t xml:space="preserve">非課税層（第1〜3段階）が986人（30.4％）を占め、低所得高齢者への保険料軽減・補足給付の重要性が示されています。一方、本人課税層（第6〜13段階）は1,232人（38.0％）で、相対的な保険料負担力を有する層も一定規模存在しています。川崎町は令和6年度に13段階へ移行しており、第10段階以上（合計所得420万円以上）は78人（2.4％）です。</w:t>
      </w:r>
    </w:p>
    <w:p>
      <w:pPr>
        <w:spacing w:after="80" w:before="50" w:line="320"/>
        <w:ind w:firstLine="200"/>
        <w:jc w:val="left"/>
      </w:pPr>
      <w:r>
        <w:rPr>
          <w:rFonts w:ascii="游ゴシック" w:cs="游ゴシック" w:eastAsia="游ゴシック" w:hAnsi="游ゴシック"/>
          <w:i w:val="false"/>
          <w:iCs w:val="false"/>
          <w:sz w:val="21"/>
          <w:szCs w:val="21"/>
        </w:rPr>
        <w:t xml:space="preserve">特に第1段階（年金収入80.9万円以下の世帯非課税層）が383人と多く、後期高齢者の増加に伴いさらに増加する可能性があります。この層は保険料軽減措置（公費による軽減）の対象であり、町の一般会計繰入（低所得者保険料軽減繰入金）が継続的に必要となります。なお令和6年度末と比べると、第1段階は412人から383人へ、第4段階は383人から343人へ減少する一方、第6段階は375人から410人へ、第8段階は218人から232人へ増加しており、中間所得層の比重がやや高まっています。</w:t>
      </w:r>
    </w:p>
    <w:p>
      <w:pPr>
        <w:spacing w:after="80" w:before="50" w:line="320"/>
        <w:ind w:firstLine="200"/>
        <w:jc w:val="left"/>
      </w:pPr>
      <w:r>
        <w:rPr>
          <w:rFonts w:ascii="游ゴシック" w:cs="游ゴシック" w:eastAsia="游ゴシック" w:hAnsi="游ゴシック"/>
          <w:i w:val="false"/>
          <w:iCs w:val="false"/>
          <w:sz w:val="21"/>
          <w:szCs w:val="21"/>
        </w:rPr>
        <w:t xml:space="preserve">川崎町の所得段階は、令和5年度までの9段階から、第9期の初年度である令和6年度に13段階へ移行済みです。したがって第10期の論点は段階数ではなく、各段階の乗率をどのように設定するかです。国の政令改正（標準段階数・標準乗率・公費による低所得者軽減の乗率）の内容が確定した段階で、所得段階別被保険者数を用いて試算します。詳細は第7章で論じます。</w:t>
      </w:r>
    </w:p>
    <w:p>
      <w:pPr>
        <w:spacing w:after="100" w:before="200" w:line="320"/>
      </w:pPr>
      <w:r>
        <w:rPr>
          <w:rFonts w:ascii="游ゴシック" w:cs="游ゴシック" w:eastAsia="游ゴシック" w:hAnsi="游ゴシック"/>
          <w:b w:val="1"/>
          <w:bCs w:val="1"/>
          <w:i w:val="false"/>
          <w:iCs w:val="false"/>
          <w:sz w:val="25"/>
          <w:szCs w:val="25"/>
        </w:rPr>
        <w:t>2-3　要介護認定とサービス利用の状況</w:t>
      </w:r>
    </w:p>
    <w:p>
      <w:pPr>
        <w:spacing w:after="80" w:before="180" w:line="300"/>
      </w:pPr>
      <w:r>
        <w:rPr>
          <w:rFonts w:ascii="游ゴシック" w:cs="游ゴシック" w:eastAsia="游ゴシック" w:hAnsi="游ゴシック"/>
          <w:b w:val="1"/>
          <w:bCs w:val="1"/>
          <w:i w:val="false"/>
          <w:iCs w:val="false"/>
          <w:sz w:val="22"/>
          <w:szCs w:val="22"/>
        </w:rPr>
        <w:t xml:space="preserve">　▌ 要介護（支援）認定者数の推移と見込み</w:t>
      </w:r>
    </w:p>
    <w:p>
      <w:pPr>
        <w:spacing w:after="80" w:before="50" w:line="320"/>
        <w:ind w:firstLine="200"/>
        <w:jc w:val="left"/>
      </w:pPr>
      <w:r>
        <w:rPr>
          <w:rFonts w:ascii="游ゴシック" w:cs="游ゴシック" w:eastAsia="游ゴシック" w:hAnsi="游ゴシック"/>
          <w:i w:val="false"/>
          <w:iCs w:val="false"/>
          <w:sz w:val="21"/>
          <w:szCs w:val="21"/>
        </w:rPr>
        <w:t xml:space="preserve">要介護（支援）認定者数は、令和6年度562人から令和7年度568人へ6人増加し、令和8年度は567人とほぼ横ばいで推移しています。第10期（令和9〜11年度）は576〜581人と見込まれ、令和7年度からの3か年でおよそ2％の増加となります。要介護度別に見ると、要支援2と要介護4が増加し、要介護2が減少する傾向にあり、認定者数の総数以上に重度化が進んで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
        <w:gridCol w:w="90"/>
        <w:gridCol w:w="90"/>
        <w:gridCol w:w="90"/>
        <w:gridCol w:w="90"/>
        <w:gridCol w:w="90"/>
        <w:gridCol w:w="90"/>
        <w:gridCol w:w="90"/>
        <w:gridCol w:w="90"/>
      </w:tblGrid>
      <w:tr>
        <w:tc>
          <w:tcPr>
            <w:tcW w:type="dxa" w:w="1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年度</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要支援1</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要支援2</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要介護1</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要介護2</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要介護3</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要介護4</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要介護5</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令和6年度（実績）</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126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126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562人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令和7年度（実績）</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116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131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568人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令和8年度（実績見込み）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567人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令和9年度（見込み）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580人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令和10年度（見込み）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134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576人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令和11年度（見込み）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134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581人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令和17年度（参考）</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149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639人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令和22年度（参考）</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164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122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688人</w:t>
            </w:r>
          </w:p>
        </w:tc>
      </w:tr>
    </w:tbl>
    <w:p>
      <w:pPr>
        <w:spacing w:after="80" w:before="30" w:line="260"/>
        <w:jc w:val="right"/>
      </w:pPr>
      <w:r>
        <w:rPr>
          <w:rFonts w:ascii="游ゴシック" w:cs="游ゴシック" w:eastAsia="游ゴシック" w:hAnsi="游ゴシック"/>
          <w:i/>
          <w:iCs/>
          <w:sz w:val="17"/>
          <w:szCs w:val="17"/>
        </w:rPr>
        <w:t xml:space="preserve">要支援2と要介護4が増え、要介護2が減るという重度化の傾向がみられます。令和17年度は639人、令和22年度は688人と見込まれ、令和11年度からさらに107人増えます。令和17年度及び令和22年度は、社会福祉法等の一部を改正する法律（令和8年法律第51号）により計画に定めることとされる中長期の見通しであり、地域包括ケア「見える化」システムの将来推計によります。第1号被保険者数は令和17年度2,967人・令和22年度2,835人と減少するため、認定率はさらに上昇します。</w:t>
      </w:r>
    </w:p>
    <w:p>
      <w:pPr>
        <w:spacing w:after="80" w:before="180" w:line="300"/>
      </w:pPr>
      <w:r>
        <w:rPr>
          <w:rFonts w:ascii="游ゴシック" w:cs="游ゴシック" w:eastAsia="游ゴシック" w:hAnsi="游ゴシック"/>
          <w:b w:val="1"/>
          <w:bCs w:val="1"/>
          <w:i w:val="false"/>
          <w:iCs w:val="false"/>
          <w:sz w:val="22"/>
          <w:szCs w:val="22"/>
        </w:rPr>
        <w:t xml:space="preserve">　▌ 要介護認定率の推移と見込み</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年度</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第1号被保険者数</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第1号被保険者の</w:t>
              <w:br/>
              <w:t xml:space="preserve">認定者数</w:t>
            </w:r>
          </w:p>
        </w:tc>
        <w:tc>
          <w:tcPr>
            <w:tcW w:type="pct" w:w="1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認定率</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区分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令和6年度</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3,270人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554人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実績</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令和7年度</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3,285人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560人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実績</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令和8年度</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3,257人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562人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実績見込み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令和9年度</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3,231人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575人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見込み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令和10年度</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3,203人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571人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見込み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令和11年度</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3,177人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576人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18.1%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見込み</w:t>
            </w:r>
          </w:p>
        </w:tc>
      </w:tr>
    </w:tbl>
    <w:p>
      <w:pPr>
        <w:spacing w:after="80" w:before="30" w:line="260"/>
        <w:jc w:val="right"/>
      </w:pPr>
      <w:r>
        <w:rPr>
          <w:rFonts w:ascii="游ゴシック" w:cs="游ゴシック" w:eastAsia="游ゴシック" w:hAnsi="游ゴシック"/>
          <w:i/>
          <w:iCs/>
          <w:sz w:val="17"/>
          <w:szCs w:val="17"/>
        </w:rPr>
        <w:t xml:space="preserve">出典：令和6〜8年度：介護保険事業状況報告／令和9〜11年度：本計画の算定値。認定率＝第1号被保険者の認定者数÷第1号被保険者数</w:t>
      </w:r>
    </w:p>
    <w:p>
      <w:pPr>
        <w:spacing w:after="80" w:before="50" w:line="320"/>
        <w:ind w:firstLine="200"/>
        <w:jc w:val="left"/>
      </w:pPr>
      <w:r>
        <w:rPr>
          <w:rFonts w:ascii="游ゴシック" w:cs="游ゴシック" w:eastAsia="游ゴシック" w:hAnsi="游ゴシック"/>
          <w:i w:val="false"/>
          <w:iCs w:val="false"/>
          <w:sz w:val="21"/>
          <w:szCs w:val="21"/>
        </w:rPr>
        <w:t xml:space="preserve">第1号被保険者の認定率は、令和6年度16.9％から令和11年度18.1％へ1.2ポイント上昇する見込みです。これは認定者数が増える一方で第1号被保険者数が3,270人から3,177人へ減少するためで、被保険者1人あたりの給付費が上昇する構造にあります。第9章のサービス見込量は、この要介護度別の認定者数の見込みを基礎としてい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認定者数は3か年で約2％の増加にとどまるが、第1号被保険者数の減少により認定率は1.2ポイント上昇する。保険料の上昇圧力は、給付費の増加よりも被保険者数の減少によるところが大きい。</w:t>
      </w:r>
    </w:p>
    <w:p>
      <w:pPr>
        <w:spacing w:after="80" w:before="180" w:line="300"/>
      </w:pPr>
      <w:r>
        <w:rPr>
          <w:rFonts w:ascii="游ゴシック" w:cs="游ゴシック" w:eastAsia="游ゴシック" w:hAnsi="游ゴシック"/>
          <w:b w:val="1"/>
          <w:bCs w:val="1"/>
          <w:i w:val="false"/>
          <w:iCs w:val="false"/>
          <w:sz w:val="22"/>
          <w:szCs w:val="22"/>
        </w:rPr>
        <w:t xml:space="preserve">　▌ サービス受給者数（令和7年度の月平均）</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tblGrid>
      <w:tr>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サービス区分</w:t>
            </w:r>
          </w:p>
        </w:tc>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要支援1</w:t>
            </w:r>
          </w:p>
        </w:tc>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要支援2</w:t>
            </w:r>
          </w:p>
        </w:tc>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要介護1</w:t>
            </w:r>
          </w:p>
        </w:tc>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要介護2</w:t>
            </w:r>
          </w:p>
        </w:tc>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要介護3</w:t>
            </w:r>
          </w:p>
        </w:tc>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要介護4</w:t>
            </w:r>
          </w:p>
        </w:tc>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要介護5</w:t>
            </w:r>
          </w:p>
        </w:tc>
        <w:tc>
          <w:tcPr>
            <w:tcW w:type="pct" w:w="1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居宅（介護予防）サービス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44.6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36.5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74.4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58.3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22.2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261.8人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地域密着型サービス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53.9人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施設サービス計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15.2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43.1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43.0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29.2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134.3人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うち介護老人福祉施設（特養）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19.9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67.8人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うち介護老人保健施設（老健）</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12.2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19.2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23.1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66.6人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延べ合計（重複あり）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46.0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48.0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99.5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118.5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76.2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46.5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450.0人</w:t>
            </w:r>
          </w:p>
        </w:tc>
      </w:tr>
    </w:tbl>
    <w:p>
      <w:pPr>
        <w:spacing w:after="80" w:before="30" w:line="260"/>
        <w:jc w:val="right"/>
      </w:pPr>
      <w:r>
        <w:rPr>
          <w:rFonts w:ascii="游ゴシック" w:cs="游ゴシック" w:eastAsia="游ゴシック" w:hAnsi="游ゴシック"/>
          <w:i/>
          <w:iCs/>
          <w:sz w:val="17"/>
          <w:szCs w:val="17"/>
        </w:rPr>
        <w:t xml:space="preserve">出典：介護保険事業状況報告（年報・令和7年度／様式1の6）※年間受給者数を12で除した月平均</w:t>
      </w:r>
    </w:p>
    <w:p>
      <w:pPr>
        <w:spacing w:after="60" w:before="120"/>
        <w:jc w:val="center"/>
      </w:pPr>
      <w:r>
        <w:rPr>
          <w:sz w:val="21"/>
          <w:szCs w:val="21"/>
        </w:rPr>
        <w:drawing>
          <wp:inline distT="0" distB="0" distL="0" distR="0">
            <wp:extent cx="40005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00500" cy="3429000"/>
                    </a:xfrm>
                    <a:prstGeom prst="rect">
                      <a:avLst/>
                    </a:prstGeom>
                  </pic:spPr>
                </pic:pic>
              </a:graphicData>
            </a:graphic>
          </wp:inline>
        </w:drawing>
      </w:r>
    </w:p>
    <w:p>
      <w:pPr>
        <w:spacing w:after="200" w:before="0" w:line="280"/>
        <w:jc w:val="center"/>
      </w:pPr>
      <w:r>
        <w:rPr>
          <w:rFonts w:ascii="游ゴシック" w:cs="游ゴシック" w:eastAsia="游ゴシック" w:hAnsi="游ゴシック"/>
          <w:b w:val="1"/>
          <w:bCs w:val="1"/>
          <w:i w:val="false"/>
          <w:iCs w:val="false"/>
          <w:sz w:val="18"/>
          <w:szCs w:val="18"/>
        </w:rPr>
        <w:t xml:space="preserve">図2-2　サービス受給者の区分別構成（令和7年度の月平均・延べ450.1人）</w:t>
      </w:r>
    </w:p>
    <w:p>
      <w:pPr>
        <w:spacing w:after="80" w:before="50" w:line="320"/>
        <w:ind w:firstLine="200"/>
        <w:jc w:val="left"/>
      </w:pPr>
      <w:r>
        <w:rPr>
          <w:rFonts w:ascii="游ゴシック" w:cs="游ゴシック" w:eastAsia="游ゴシック" w:hAnsi="游ゴシック"/>
          <w:i w:val="false"/>
          <w:iCs w:val="false"/>
          <w:sz w:val="21"/>
          <w:szCs w:val="21"/>
        </w:rPr>
        <w:t xml:space="preserve">令和7年度の月平均で、サービス受給者は延べ450.0人（重複あり）です。サービス区分別構成は、居宅サービス58.2％、地域密着型12.0％、施設29.8％となっており、在宅介護が主軸を占めています。第9期計画までは特定の月の値を用いていましたが、本計画では第9章の見込量と基準をそろえるため、年度の月平均を用いています。</w:t>
      </w:r>
    </w:p>
    <w:p>
      <w:pPr>
        <w:spacing w:after="80" w:before="50" w:line="320"/>
        <w:ind w:firstLine="200"/>
        <w:jc w:val="left"/>
      </w:pPr>
      <w:r>
        <w:rPr>
          <w:rFonts w:ascii="游ゴシック" w:cs="游ゴシック" w:eastAsia="游ゴシック" w:hAnsi="游ゴシック"/>
          <w:i w:val="false"/>
          <w:iCs w:val="false"/>
          <w:sz w:val="21"/>
          <w:szCs w:val="21"/>
        </w:rPr>
        <w:t xml:space="preserve">ただし、要介護度別の利用状況を見ると、要介護3以上の重度層では施設サービス利用が中心となります。施設サービス受給者134.3人のうち、要介護3以上が115.3人（85.9％）を占めており、重度認定者の受け皿として施設機能が機能していることが分かります。一方、要介護1〜2の中軽度層では居宅サービス・地域密着型サービスでの対応が中心となってい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施設サービス受給者134.3人のうち、特養67.8人・老健66.6人がほぼ拮抗。介護療養型医療施設は令和5年度末に制度廃止されたため第10期では記載しない。介護医療院は0人であり、第10期見込量は0据置とする。</w:t>
      </w:r>
    </w:p>
    <w:p>
      <w:pPr>
        <w:spacing w:after="80" w:before="180" w:line="300"/>
      </w:pPr>
      <w:r>
        <w:rPr>
          <w:rFonts w:ascii="游ゴシック" w:cs="游ゴシック" w:eastAsia="游ゴシック" w:hAnsi="游ゴシック"/>
          <w:b w:val="1"/>
          <w:bCs w:val="1"/>
          <w:i w:val="false"/>
          <w:iCs w:val="false"/>
          <w:sz w:val="22"/>
          <w:szCs w:val="22"/>
        </w:rPr>
        <w:t xml:space="preserve">　▌ 住所地特例（町外施設入所）の状況</w:t>
      </w:r>
    </w:p>
    <w:p>
      <w:pPr>
        <w:spacing w:after="80" w:before="50" w:line="320"/>
        <w:ind w:firstLine="200"/>
        <w:jc w:val="left"/>
      </w:pPr>
      <w:r>
        <w:rPr>
          <w:rFonts w:ascii="游ゴシック" w:cs="游ゴシック" w:eastAsia="游ゴシック" w:hAnsi="游ゴシック"/>
          <w:i w:val="false"/>
          <w:iCs w:val="false"/>
          <w:sz w:val="21"/>
          <w:szCs w:val="21"/>
        </w:rPr>
        <w:t xml:space="preserve">令和8年3月末時点で、住所地特例被保険者は24人となっています。キックオフ会議では、町内施設の縮小傾向により町外施設の利用が相当数あること、また福祉施設が役場周辺に偏在しており地域間でアクセス格差が見られることが課題として挙げられています。</w:t>
      </w:r>
    </w:p>
    <w:p>
      <w:pPr>
        <w:spacing w:after="80" w:before="80" w:line="280"/>
        <w:ind w:left="288"/>
      </w:pPr>
      <w:r>
        <w:rPr>
          <w:rFonts w:ascii="游ゴシック" w:cs="游ゴシック" w:eastAsia="游ゴシック" w:hAnsi="游ゴシック"/>
          <w:i/>
          <w:iCs/>
          <w:sz w:val="19"/>
          <w:szCs w:val="19"/>
        </w:rPr>
        <w:t xml:space="preserve">⚠ 地区別の認定者・サービス利用状況、町外施設利用者の所在自治体内訳は、町担当課から経年データを入手次第追記します。</w:t>
      </w:r>
    </w:p>
    <w:p>
      <w:pPr>
        <w:spacing w:after="100" w:before="200" w:line="320"/>
      </w:pPr>
      <w:r>
        <w:rPr>
          <w:rFonts w:ascii="游ゴシック" w:cs="游ゴシック" w:eastAsia="游ゴシック" w:hAnsi="游ゴシック"/>
          <w:b w:val="1"/>
          <w:bCs w:val="1"/>
          <w:i w:val="false"/>
          <w:iCs w:val="false"/>
          <w:sz w:val="25"/>
          <w:szCs w:val="25"/>
        </w:rPr>
        <w:t xml:space="preserve">図2-2　サービス受給者の区分別構成（令和7年度の月平均・延べ450.0人）</w:t>
      </w:r>
    </w:p>
    <w:p>
      <w:pPr>
        <w:spacing w:after="100" w:before="200" w:line="320"/>
      </w:pPr>
      <w:r>
        <w:rPr>
          <w:rFonts w:ascii="游ゴシック" w:cs="游ゴシック" w:eastAsia="游ゴシック" w:hAnsi="游ゴシック"/>
          <w:b w:val="1"/>
          <w:bCs w:val="1"/>
          <w:i w:val="false"/>
          <w:iCs w:val="false"/>
          <w:sz w:val="25"/>
          <w:szCs w:val="25"/>
        </w:rPr>
        <w:t xml:space="preserve">2-4　介護給付費の状況</w:t>
      </w:r>
    </w:p>
    <w:p>
      <w:pPr>
        <w:spacing w:after="80" w:before="180" w:line="300"/>
      </w:pPr>
      <w:r>
        <w:rPr>
          <w:rFonts w:ascii="游ゴシック" w:cs="游ゴシック" w:eastAsia="游ゴシック" w:hAnsi="游ゴシック"/>
          <w:b w:val="1"/>
          <w:bCs w:val="1"/>
          <w:i w:val="false"/>
          <w:iCs w:val="false"/>
          <w:sz w:val="22"/>
          <w:szCs w:val="22"/>
        </w:rPr>
        <w:t xml:space="preserve">　▌ 年間給付費（令和7年度実績）</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サービス区分</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要支援計</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要介護計</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合計（円）</w:t>
            </w:r>
          </w:p>
        </w:tc>
        <w:tc>
          <w:tcPr>
            <w:tcW w:type="pct" w:w="1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構成比</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居宅サービス計</w:t>
              <w:br/>
              <w:t xml:space="preserve">（居宅介護支援を含む）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27,938,709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294,737,109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322,675,818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32.3%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うち訪問サービス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2,500,398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39,419,068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41,919,466</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うち通所サービス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17,070,149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160,686,728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177,756,877</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17.8%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地域密着型計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4,349,304</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177,845,157</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182,194,461</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18.3%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施設サービス計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493,352,142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493,352,142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49.4%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うち特養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232,975,413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232,975,413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23.3%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うち老健</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260,376,729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260,376,729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26.1%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総計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32,288,013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965,934,408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998,222,421</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100.0%</w:t>
            </w:r>
          </w:p>
        </w:tc>
      </w:tr>
    </w:tbl>
    <w:p>
      <w:pPr>
        <w:spacing w:after="80" w:before="30" w:line="260"/>
        <w:jc w:val="right"/>
      </w:pPr>
      <w:r>
        <w:rPr>
          <w:rFonts w:ascii="游ゴシック" w:cs="游ゴシック" w:eastAsia="游ゴシック" w:hAnsi="游ゴシック"/>
          <w:i/>
          <w:iCs/>
          <w:sz w:val="17"/>
          <w:szCs w:val="17"/>
        </w:rPr>
        <w:t xml:space="preserve">出典：介護保険事業状況報告（年報・令和7年度／様式2給付費）</w:t>
      </w:r>
    </w:p>
    <w:p>
      <w:pPr>
        <w:spacing w:after="60" w:before="120"/>
        <w:jc w:val="center"/>
      </w:pPr>
      <w:r>
        <w:rPr>
          <w:sz w:val="21"/>
          <w:szCs w:val="21"/>
        </w:rPr>
        <w:drawing>
          <wp:inline distT="0" distB="0" distL="0" distR="0">
            <wp:extent cx="53340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238500"/>
                    </a:xfrm>
                    <a:prstGeom prst="rect">
                      <a:avLst/>
                    </a:prstGeom>
                  </pic:spPr>
                </pic:pic>
              </a:graphicData>
            </a:graphic>
          </wp:inline>
        </w:drawing>
      </w:r>
    </w:p>
    <w:p>
      <w:pPr>
        <w:spacing w:after="200" w:before="0" w:line="280"/>
        <w:jc w:val="center"/>
      </w:pPr>
      <w:r>
        <w:rPr>
          <w:rFonts w:ascii="游ゴシック" w:cs="游ゴシック" w:eastAsia="游ゴシック" w:hAnsi="游ゴシック"/>
          <w:b w:val="1"/>
          <w:bCs w:val="1"/>
          <w:i w:val="false"/>
          <w:iCs w:val="false"/>
          <w:sz w:val="18"/>
          <w:szCs w:val="18"/>
        </w:rPr>
        <w:t xml:space="preserve">図2-3　サービス区分別の年間給付費（令和7年度実績・総額9.98億円）</w:t>
      </w:r>
    </w:p>
    <w:p>
      <w:pPr>
        <w:spacing w:after="80" w:before="80" w:line="280"/>
        <w:ind w:left="288"/>
      </w:pPr>
      <w:r>
        <w:rPr>
          <w:rFonts w:ascii="游ゴシック" w:cs="游ゴシック" w:eastAsia="游ゴシック" w:hAnsi="游ゴシック"/>
          <w:b w:val="1"/>
          <w:bCs w:val="1"/>
          <w:i w:val="false"/>
          <w:iCs w:val="false"/>
          <w:sz w:val="20"/>
          <w:szCs w:val="20"/>
        </w:rPr>
        <w:t xml:space="preserve">● 令和7年度のサービス種類別給付費合計は約9.98億円。施設サービスが49.4％、居宅サービスが32.3％、地域密着型が18.3％の構成。</w:t>
      </w:r>
    </w:p>
    <w:p>
      <w:pPr>
        <w:spacing w:after="80" w:before="50" w:line="320"/>
        <w:ind w:firstLine="200"/>
        <w:jc w:val="left"/>
      </w:pPr>
      <w:r>
        <w:rPr>
          <w:rFonts w:ascii="游ゴシック" w:cs="游ゴシック" w:eastAsia="游ゴシック" w:hAnsi="游ゴシック"/>
          <w:i w:val="false"/>
          <w:iCs w:val="false"/>
          <w:sz w:val="21"/>
          <w:szCs w:val="21"/>
        </w:rPr>
        <w:t xml:space="preserve">施設サービスが給付費全体の49.4％を占めていることは、川崎町の介護給付構造の大きな特徴です。受給者数では約3割に過ぎない施設サービス利用者が給付費の約半分を占めるのは、施設サービスの1人当たり単価が居宅サービスより大幅に高いためです。令和3年度（46.0％）と比べても施設の比重は高まっており、第10期計画では、町外施設利用（住所地特例24人）を含めた施設供給見込量を精査し、給付費の中長期的な持続可能性を確保することが課題です。</w:t>
      </w:r>
    </w:p>
    <w:p>
      <w:pPr>
        <w:spacing w:after="80" w:before="50" w:line="320"/>
        <w:ind w:firstLine="200"/>
        <w:jc w:val="left"/>
      </w:pPr>
      <w:r>
        <w:rPr>
          <w:rFonts w:ascii="游ゴシック" w:cs="游ゴシック" w:eastAsia="游ゴシック" w:hAnsi="游ゴシック"/>
          <w:i w:val="false"/>
          <w:iCs w:val="false"/>
          <w:sz w:val="21"/>
          <w:szCs w:val="21"/>
        </w:rPr>
        <w:t xml:space="preserve">一方、居宅サービス内訳では通所サービス（デイサービス・デイケア）が約1.78億円（給付費全体の17.8％）と最大の比重を占めています。これは町内の通所事業所の充実度を反映するとともに、在宅介護を支える基盤として通所サービスが重要な役割を果たしていることを示しています。地域密着型では認知症対応型共同生活介護（グループホーム）が約8,441万円と地域密着型給付費の46％を占め、認知症ケアにおける重要拠点となっています。</w:t>
      </w:r>
    </w:p>
    <w:p>
      <w:pPr>
        <w:spacing w:after="80" w:before="180" w:line="300"/>
      </w:pPr>
      <w:r>
        <w:rPr>
          <w:rFonts w:ascii="游ゴシック" w:cs="游ゴシック" w:eastAsia="游ゴシック" w:hAnsi="游ゴシック"/>
          <w:b w:val="1"/>
          <w:bCs w:val="1"/>
          <w:i w:val="false"/>
          <w:iCs w:val="false"/>
          <w:sz w:val="22"/>
          <w:szCs w:val="22"/>
        </w:rPr>
        <w:t xml:space="preserve">　▌ 保険給付の支払状況（令和7年度）</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区分</w:t>
            </w:r>
          </w:p>
        </w:tc>
        <w:tc>
          <w:tcPr>
            <w:tcW w:type="pct" w:w="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金額（円）</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構成比</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保険給付費 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1,084,587,307</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100.0%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うち介護サービス等諸費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966,359,349</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89.1%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うち介護予防サービス等諸費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32,279,997</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うち高額介護サービス等費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30,468,013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2.8%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うち高額医療合算介護サービス等費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2,512,792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0.2%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うち特定入所者介護サービス等費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52,967,156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4.9%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地域支援事業費 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36,609,149</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w:t>
            </w:r>
          </w:p>
        </w:tc>
      </w:tr>
    </w:tbl>
    <w:p>
      <w:pPr>
        <w:spacing w:after="80" w:before="30" w:line="260"/>
        <w:jc w:val="right"/>
      </w:pPr>
      <w:r>
        <w:rPr>
          <w:rFonts w:ascii="游ゴシック" w:cs="游ゴシック" w:eastAsia="游ゴシック" w:hAnsi="游ゴシック"/>
          <w:i/>
          <w:iCs/>
          <w:sz w:val="17"/>
          <w:szCs w:val="17"/>
        </w:rPr>
        <w:t xml:space="preserve">出典：介護保険事業状況報告（年報・令和7年度／様式3）</w:t>
      </w:r>
    </w:p>
    <w:p>
      <w:pPr>
        <w:spacing w:after="80" w:before="180" w:line="300"/>
      </w:pPr>
      <w:r>
        <w:rPr>
          <w:rFonts w:ascii="游ゴシック" w:cs="游ゴシック" w:eastAsia="游ゴシック" w:hAnsi="游ゴシック"/>
          <w:b w:val="1"/>
          <w:bCs w:val="1"/>
          <w:i w:val="false"/>
          <w:iCs w:val="false"/>
          <w:sz w:val="22"/>
          <w:szCs w:val="22"/>
        </w:rPr>
        <w:t xml:space="preserve">　▌ 保険料収納実績（令和7年度）</w:t>
      </w:r>
    </w:p>
    <w:p>
      <w:pPr>
        <w:spacing w:after="30" w:before="30" w:line="300"/>
        <w:ind w:left="431"/>
      </w:pPr>
      <w:r>
        <w:rPr>
          <w:rFonts w:ascii="游ゴシック" w:cs="游ゴシック" w:eastAsia="游ゴシック" w:hAnsi="游ゴシック"/>
          <w:i w:val="false"/>
          <w:iCs w:val="false"/>
          <w:sz w:val="21"/>
          <w:szCs w:val="21"/>
        </w:rPr>
        <w:t xml:space="preserve">・調定額累計：253,091,271円　収納額累計：244,747,850円</w:t>
      </w:r>
    </w:p>
    <w:p>
      <w:pPr>
        <w:spacing w:after="30" w:before="30" w:line="300"/>
        <w:ind w:left="431"/>
      </w:pPr>
      <w:r>
        <w:rPr>
          <w:rFonts w:ascii="游ゴシック" w:cs="游ゴシック" w:eastAsia="游ゴシック" w:hAnsi="游ゴシック"/>
          <w:i w:val="false"/>
          <w:iCs w:val="false"/>
          <w:sz w:val="21"/>
          <w:szCs w:val="21"/>
        </w:rPr>
        <w:t xml:space="preserve">・収納率合計：96.7％（特別徴収100.0％・普通徴収現年度分94.1％）</w:t>
      </w:r>
    </w:p>
    <w:p>
      <w:pPr>
        <w:spacing w:after="30" w:before="30" w:line="300"/>
        <w:ind w:left="431"/>
      </w:pPr>
      <w:r>
        <w:rPr>
          <w:rFonts w:ascii="游ゴシック" w:cs="游ゴシック" w:eastAsia="游ゴシック" w:hAnsi="游ゴシック"/>
          <w:i w:val="false"/>
          <w:iCs w:val="false"/>
          <w:sz w:val="21"/>
          <w:szCs w:val="21"/>
        </w:rPr>
        <w:t xml:space="preserve">・不納欠損額：835,700円　未収額：7,507,721円</w:t>
      </w:r>
    </w:p>
    <w:p>
      <w:pPr>
        <w:spacing w:after="80" w:before="80" w:line="280"/>
        <w:ind w:left="288"/>
      </w:pPr>
      <w:r>
        <w:rPr>
          <w:rFonts w:ascii="游ゴシック" w:cs="游ゴシック" w:eastAsia="游ゴシック" w:hAnsi="游ゴシック"/>
          <w:b w:val="1"/>
          <w:bCs w:val="1"/>
          <w:i w:val="false"/>
          <w:iCs w:val="false"/>
          <w:sz w:val="20"/>
          <w:szCs w:val="20"/>
        </w:rPr>
        <w:t xml:space="preserve">● 収納率96.7％は高水準。第10期保険料の算定における予定収納率（96.0％）の根拠となる。なお町提供実績データの令和7年度99.6％は現年度分（99.56％）であり、他年度の総合収納率とは範囲が異なる（確認事項No.11は解決）。</w:t>
      </w:r>
    </w:p>
    <w:p>
      <w:pPr>
        <w:spacing w:after="100" w:before="200" w:line="320"/>
      </w:pPr>
      <w:r>
        <w:rPr>
          <w:rFonts w:ascii="游ゴシック" w:cs="游ゴシック" w:eastAsia="游ゴシック" w:hAnsi="游ゴシック"/>
          <w:b w:val="1"/>
          <w:bCs w:val="1"/>
          <w:i w:val="false"/>
          <w:iCs w:val="false"/>
          <w:sz w:val="25"/>
          <w:szCs w:val="25"/>
        </w:rPr>
        <w:t>2-5　高齢者を取り巻く地域資源</w:t>
      </w:r>
    </w:p>
    <w:p>
      <w:pPr>
        <w:spacing w:after="80" w:before="180" w:line="300"/>
      </w:pPr>
      <w:r>
        <w:rPr>
          <w:rFonts w:ascii="游ゴシック" w:cs="游ゴシック" w:eastAsia="游ゴシック" w:hAnsi="游ゴシック"/>
          <w:b w:val="1"/>
          <w:bCs w:val="1"/>
          <w:i w:val="false"/>
          <w:iCs w:val="false"/>
          <w:sz w:val="22"/>
          <w:szCs w:val="22"/>
        </w:rPr>
        <w:t xml:space="preserve">　▌ 地域包括支援センター</w:t>
      </w:r>
    </w:p>
    <w:p>
      <w:pPr>
        <w:spacing w:after="80" w:before="50" w:line="320"/>
        <w:ind w:firstLine="200"/>
        <w:jc w:val="left"/>
      </w:pPr>
      <w:r>
        <w:rPr>
          <w:rFonts w:ascii="游ゴシック" w:cs="游ゴシック" w:eastAsia="游ゴシック" w:hAnsi="游ゴシック"/>
          <w:i w:val="false"/>
          <w:iCs w:val="false"/>
          <w:sz w:val="21"/>
          <w:szCs w:val="21"/>
        </w:rPr>
        <w:t xml:space="preserve">町内に1か所、社会福祉法人川崎町社会福祉協議会が運営する地域包括支援センターを設置しています（地域包括支援センターコード：0472200062）。</w:t>
      </w:r>
    </w:p>
    <w:p>
      <w:pPr>
        <w:spacing w:after="80" w:before="50" w:line="320"/>
        <w:ind w:firstLine="200"/>
        <w:jc w:val="left"/>
      </w:pPr>
      <w:r>
        <w:rPr>
          <w:rFonts w:ascii="游ゴシック" w:cs="游ゴシック" w:eastAsia="游ゴシック" w:hAnsi="游ゴシック"/>
          <w:i w:val="false"/>
          <w:iCs w:val="false"/>
          <w:sz w:val="21"/>
          <w:szCs w:val="21"/>
        </w:rPr>
        <w:t xml:space="preserve">職員体制は保健師3名＋認定調査員1名の計4名（実質3名で運用）、ケアマネジャーは会計年度任用職員1名となっています。介護認定調査は1名で実施しており、業務負担が大きい状況です。一部のケアプランは外部委託も活用しています。</w:t>
      </w:r>
    </w:p>
    <w:p>
      <w:pPr>
        <w:spacing w:after="80" w:before="180" w:line="300"/>
      </w:pPr>
      <w:r>
        <w:rPr>
          <w:rFonts w:ascii="游ゴシック" w:cs="游ゴシック" w:eastAsia="游ゴシック" w:hAnsi="游ゴシック"/>
          <w:b w:val="1"/>
          <w:bCs w:val="1"/>
          <w:i w:val="false"/>
          <w:iCs w:val="false"/>
          <w:sz w:val="22"/>
          <w:szCs w:val="22"/>
        </w:rPr>
        <w:t xml:space="preserve">　▌ 医療資源</w:t>
      </w:r>
    </w:p>
    <w:p>
      <w:pPr>
        <w:spacing w:after="80" w:before="50" w:line="320"/>
        <w:ind w:firstLine="200"/>
        <w:jc w:val="left"/>
      </w:pPr>
      <w:r>
        <w:rPr>
          <w:rFonts w:ascii="游ゴシック" w:cs="游ゴシック" w:eastAsia="游ゴシック" w:hAnsi="游ゴシック"/>
          <w:i w:val="false"/>
          <w:iCs w:val="false"/>
          <w:sz w:val="21"/>
          <w:szCs w:val="21"/>
        </w:rPr>
        <w:t xml:space="preserve">町内には国民健康保険川崎病院（電話 0224-84-2119）があり、町の医療拠点となっています。町外の中核的医療機関として、みやぎ県南中核病院（大河原町）・刈田綜合病院（白石市）が近隣にあり、夜間・救急時の広域医療連携の対象となっています。</w:t>
      </w:r>
    </w:p>
    <w:p>
      <w:pPr>
        <w:spacing w:after="80" w:before="180" w:line="300"/>
      </w:pPr>
      <w:r>
        <w:rPr>
          <w:rFonts w:ascii="游ゴシック" w:cs="游ゴシック" w:eastAsia="游ゴシック" w:hAnsi="游ゴシック"/>
          <w:b w:val="1"/>
          <w:bCs w:val="1"/>
          <w:i w:val="false"/>
          <w:iCs w:val="false"/>
          <w:sz w:val="22"/>
          <w:szCs w:val="22"/>
        </w:rPr>
        <w:t xml:space="preserve">　▌ 認知症関連資源</w:t>
      </w:r>
    </w:p>
    <w:p>
      <w:pPr>
        <w:spacing w:after="80" w:before="50" w:line="320"/>
        <w:ind w:firstLine="200"/>
        <w:jc w:val="left"/>
      </w:pPr>
      <w:r>
        <w:rPr>
          <w:rFonts w:ascii="游ゴシック" w:cs="游ゴシック" w:eastAsia="游ゴシック" w:hAnsi="游ゴシック"/>
          <w:i w:val="false"/>
          <w:iCs w:val="false"/>
          <w:sz w:val="21"/>
          <w:szCs w:val="21"/>
        </w:rPr>
        <w:t xml:space="preserve">認知症サポーター養成事業を継続しており、令和3年度末で累計550名のサポーターと73名のキャラバンメイトを育成しています。なお、令和8年9月1日提供の実績データでは令和7年度見込で累計642名・キャラバンメイト80名とされていますが、累計値と年間受講者数が整合しないため確認中です。第10期では、認知症基本法対応のチームオレンジ・本人ミーティング等の取組強化が課題です（チームオレンジは同実績データでは令和6年度以降「整備」とされており、整備の実態を確認中です）。今回のニーズ調査では、本人又は家族に認知症の症状があるとの回答が11.1％（n=541）、認知症の相談窓口を知っているとの回答が47.7％（n=547）でした。物忘れが多いと感じる層でも窓口の認知度は42.7％にとどまり、支援を必要とする可能性が高い層に情報が届いていない状況がうかがえます。</w:t>
      </w:r>
    </w:p>
    <w:p>
      <w:pPr>
        <w:spacing w:after="80" w:before="180" w:line="300"/>
      </w:pPr>
      <w:r>
        <w:rPr>
          <w:rFonts w:ascii="游ゴシック" w:cs="游ゴシック" w:eastAsia="游ゴシック" w:hAnsi="游ゴシック"/>
          <w:b w:val="1"/>
          <w:bCs w:val="1"/>
          <w:i w:val="false"/>
          <w:iCs w:val="false"/>
          <w:sz w:val="22"/>
          <w:szCs w:val="22"/>
        </w:rPr>
        <w:t xml:space="preserve">　▌ ユニバーサルサポーター制度（川崎町独自）</w:t>
      </w:r>
    </w:p>
    <w:p>
      <w:pPr>
        <w:spacing w:after="80" w:before="50" w:line="320"/>
        <w:ind w:firstLine="200"/>
        <w:jc w:val="left"/>
      </w:pPr>
      <w:r>
        <w:rPr>
          <w:rFonts w:ascii="游ゴシック" w:cs="游ゴシック" w:eastAsia="游ゴシック" w:hAnsi="游ゴシック"/>
          <w:i w:val="false"/>
          <w:iCs w:val="false"/>
          <w:sz w:val="21"/>
          <w:szCs w:val="21"/>
        </w:rPr>
        <w:t xml:space="preserve">川崎町では、地域の高齢者を支える独自の人的資源として「ユニバーサルサポーター制度」を運用しており、14種別約400名のサポーターが活動しています。主な内訳は介護予防サロン84名、スマイルサポーター40名、レクリエーションサポーター29名、傾聴サポーター24名、生活支援サポーター25名、ふれあいネットワーク活動員15名・協力員130名等です（地域福祉計画の資料による）。なお、令和8年9月1日提供の実績データでは介護予防サロン49名・スマイルサポーター23名等とされており、集計の範囲が異なるため確認中です。</w:t>
      </w:r>
    </w:p>
    <w:p>
      <w:pPr>
        <w:spacing w:after="80" w:before="80" w:line="280"/>
        <w:ind w:left="288"/>
      </w:pPr>
      <w:r>
        <w:rPr>
          <w:rFonts w:ascii="游ゴシック" w:cs="游ゴシック" w:eastAsia="游ゴシック" w:hAnsi="游ゴシック"/>
          <w:b w:val="1"/>
          <w:bCs w:val="1"/>
          <w:i w:val="false"/>
          <w:iCs w:val="false"/>
          <w:sz w:val="20"/>
          <w:szCs w:val="20"/>
        </w:rPr>
        <w:t xml:space="preserve">● ユニバーサルサポーター14種別約400名は川崎町独自の重要な地域資源。第10期の生活支援体制整備・通いの場展開の中核となる。</w:t>
      </w:r>
    </w:p>
    <w:p>
      <w:pPr>
        <w:spacing w:after="80" w:before="180" w:line="300"/>
      </w:pPr>
      <w:r>
        <w:rPr>
          <w:rFonts w:ascii="游ゴシック" w:cs="游ゴシック" w:eastAsia="游ゴシック" w:hAnsi="游ゴシック"/>
          <w:b w:val="1"/>
          <w:bCs w:val="1"/>
          <w:i w:val="false"/>
          <w:iCs w:val="false"/>
          <w:sz w:val="22"/>
          <w:szCs w:val="22"/>
        </w:rPr>
        <w:t xml:space="preserve">　▌ 移動支援</w:t>
      </w:r>
    </w:p>
    <w:p>
      <w:pPr>
        <w:spacing w:after="80" w:before="50" w:line="320"/>
        <w:ind w:firstLine="200"/>
        <w:jc w:val="left"/>
      </w:pPr>
      <w:r>
        <w:rPr>
          <w:rFonts w:ascii="游ゴシック" w:cs="游ゴシック" w:eastAsia="游ゴシック" w:hAnsi="游ゴシック"/>
          <w:i w:val="false"/>
          <w:iCs w:val="false"/>
          <w:sz w:val="21"/>
          <w:szCs w:val="21"/>
        </w:rPr>
        <w:t xml:space="preserve">町内の移動支援は、令和7年3月で従来の高齢者外出タクシー利用助成が終了し、現在は以下の3つの仕組みで実施しています。</w:t>
      </w:r>
    </w:p>
    <w:p>
      <w:pPr>
        <w:spacing w:after="40" w:before="40" w:line="300"/>
        <w:ind w:left="431"/>
      </w:pPr>
      <w:r>
        <w:rPr>
          <w:rFonts w:ascii="游ゴシック" w:cs="游ゴシック" w:eastAsia="游ゴシック" w:hAnsi="游ゴシック"/>
          <w:i w:val="false"/>
          <w:iCs w:val="false"/>
          <w:sz w:val="21"/>
          <w:szCs w:val="21"/>
        </w:rPr>
        <w:t xml:space="preserve">①　</w:t>
      </w:r>
      <w:r>
        <w:rPr>
          <w:rFonts w:ascii="游ゴシック" w:cs="游ゴシック" w:eastAsia="游ゴシック" w:hAnsi="游ゴシック"/>
          <w:i w:val="false"/>
          <w:iCs w:val="false"/>
          <w:sz w:val="21"/>
          <w:szCs w:val="21"/>
        </w:rPr>
        <w:t xml:space="preserve">福祉移送サービス：社会福祉協議会及びNPO法人が町の委託事業として運行（対象：高齢者・障害者）</w:t>
      </w:r>
    </w:p>
    <w:p>
      <w:pPr>
        <w:spacing w:after="40" w:before="40" w:line="300"/>
        <w:ind w:left="431"/>
      </w:pPr>
      <w:r>
        <w:rPr>
          <w:rFonts w:ascii="游ゴシック" w:cs="游ゴシック" w:eastAsia="游ゴシック" w:hAnsi="游ゴシック"/>
          <w:i w:val="false"/>
          <w:iCs w:val="false"/>
          <w:sz w:val="21"/>
          <w:szCs w:val="21"/>
        </w:rPr>
        <w:t xml:space="preserve">②　</w:t>
      </w:r>
      <w:r>
        <w:rPr>
          <w:rFonts w:ascii="游ゴシック" w:cs="游ゴシック" w:eastAsia="游ゴシック" w:hAnsi="游ゴシック"/>
          <w:i w:val="false"/>
          <w:iCs w:val="false"/>
          <w:sz w:val="21"/>
          <w:szCs w:val="21"/>
        </w:rPr>
        <w:t xml:space="preserve">デマンドバス：バス会社運行（前日17時までに予約・病院利用が多い）</w:t>
      </w:r>
    </w:p>
    <w:p>
      <w:pPr>
        <w:spacing w:after="40" w:before="40" w:line="300"/>
        <w:ind w:left="431"/>
      </w:pPr>
      <w:r>
        <w:rPr>
          <w:rFonts w:ascii="游ゴシック" w:cs="游ゴシック" w:eastAsia="游ゴシック" w:hAnsi="游ゴシック"/>
          <w:i w:val="false"/>
          <w:iCs w:val="false"/>
          <w:sz w:val="21"/>
          <w:szCs w:val="21"/>
        </w:rPr>
        <w:t xml:space="preserve">③　</w:t>
      </w:r>
      <w:r>
        <w:rPr>
          <w:rFonts w:ascii="游ゴシック" w:cs="游ゴシック" w:eastAsia="游ゴシック" w:hAnsi="游ゴシック"/>
          <w:i w:val="false"/>
          <w:iCs w:val="false"/>
          <w:sz w:val="21"/>
          <w:szCs w:val="21"/>
        </w:rPr>
        <w:t xml:space="preserve">町民バス：バス会社運行（朝晩は小中学生も利用）</w:t>
      </w:r>
    </w:p>
    <w:p>
      <w:pPr>
        <w:spacing w:after="80" w:before="50" w:line="320"/>
        <w:ind w:firstLine="200"/>
        <w:jc w:val="left"/>
      </w:pPr>
      <w:r>
        <w:rPr>
          <w:rFonts w:ascii="游ゴシック" w:cs="游ゴシック" w:eastAsia="游ゴシック" w:hAnsi="游ゴシック"/>
          <w:i w:val="false"/>
          <w:iCs w:val="false"/>
          <w:sz w:val="21"/>
          <w:szCs w:val="21"/>
        </w:rPr>
        <w:t xml:space="preserve">これらの所管は地域振興課・町民生活課・社協・NPO法人と分かれており、第10期では移動支援全体を俯瞰した整理と利用情報の住民への提供が課題です。</w:t>
      </w:r>
    </w:p>
    <w:p>
      <w:pPr>
        <w:spacing w:after="80" w:before="180" w:line="300"/>
      </w:pPr>
      <w:r>
        <w:rPr>
          <w:rFonts w:ascii="游ゴシック" w:cs="游ゴシック" w:eastAsia="游ゴシック" w:hAnsi="游ゴシック"/>
          <w:b w:val="1"/>
          <w:bCs w:val="1"/>
          <w:i w:val="false"/>
          <w:iCs w:val="false"/>
          <w:sz w:val="22"/>
          <w:szCs w:val="22"/>
        </w:rPr>
        <w:t xml:space="preserve">　▌ 独自施策</w:t>
      </w:r>
    </w:p>
    <w:p>
      <w:pPr>
        <w:spacing w:after="30" w:before="30" w:line="300"/>
        <w:ind w:left="431"/>
      </w:pPr>
      <w:r>
        <w:rPr>
          <w:rFonts w:ascii="游ゴシック" w:cs="游ゴシック" w:eastAsia="游ゴシック" w:hAnsi="游ゴシック"/>
          <w:i w:val="false"/>
          <w:iCs w:val="false"/>
          <w:sz w:val="21"/>
          <w:szCs w:val="21"/>
        </w:rPr>
        <w:t xml:space="preserve">・高齢者紙おむつ等支給事業</w:t>
      </w:r>
    </w:p>
    <w:p>
      <w:pPr>
        <w:spacing w:after="30" w:before="30" w:line="300"/>
        <w:ind w:left="431"/>
      </w:pPr>
      <w:r>
        <w:rPr>
          <w:rFonts w:ascii="游ゴシック" w:cs="游ゴシック" w:eastAsia="游ゴシック" w:hAnsi="游ゴシック"/>
          <w:i w:val="false"/>
          <w:iCs w:val="false"/>
          <w:sz w:val="21"/>
          <w:szCs w:val="21"/>
        </w:rPr>
        <w:t xml:space="preserve">・高齢者世帯エアコン購入支援事業（令和7年10月開始）</w:t>
      </w:r>
    </w:p>
    <w:p>
      <w:pPr>
        <w:spacing w:after="30" w:before="30" w:line="300"/>
        <w:ind w:left="431"/>
      </w:pPr>
      <w:r>
        <w:rPr>
          <w:rFonts w:ascii="游ゴシック" w:cs="游ゴシック" w:eastAsia="游ゴシック" w:hAnsi="游ゴシック"/>
          <w:i w:val="false"/>
          <w:iCs w:val="false"/>
          <w:sz w:val="21"/>
          <w:szCs w:val="21"/>
        </w:rPr>
        <w:t xml:space="preserve">・人工透析患者通院交通費助成事業</w:t>
      </w:r>
    </w:p>
    <w:p>
      <w:pPr>
        <w:spacing w:after="100" w:before="200" w:line="320"/>
      </w:pPr>
      <w:r>
        <w:rPr>
          <w:rFonts w:ascii="游ゴシック" w:cs="游ゴシック" w:eastAsia="游ゴシック" w:hAnsi="游ゴシック"/>
          <w:b w:val="1"/>
          <w:bCs w:val="1"/>
          <w:i w:val="false"/>
          <w:iCs w:val="false"/>
          <w:sz w:val="25"/>
          <w:szCs w:val="25"/>
        </w:rPr>
        <w:t>2-6　調査結果からみた高齢者の状況</w:t>
      </w:r>
    </w:p>
    <w:p>
      <w:pPr>
        <w:spacing w:after="80" w:before="50" w:line="320"/>
        <w:ind w:firstLine="200"/>
        <w:jc w:val="left"/>
      </w:pPr>
      <w:r>
        <w:rPr>
          <w:rFonts w:ascii="游ゴシック" w:cs="游ゴシック" w:eastAsia="游ゴシック" w:hAnsi="游ゴシック"/>
          <w:i w:val="false"/>
          <w:iCs w:val="false"/>
          <w:sz w:val="21"/>
          <w:szCs w:val="21"/>
        </w:rPr>
        <w:t>第10期計画の策定にあたり、令和8年6月から7月にかけて2種類の調査を実施しました。本節では、その結果のうち施策の検討に直接関わるものを分野別に整理します。調査の全体像は、別冊の「ニーズ調査結果報告書」及び「介護実態調査結果報告書」に示しています。</w:t>
      </w:r>
    </w:p>
    <w:p>
      <w:pPr>
        <w:spacing w:after="80" w:before="180" w:line="300"/>
      </w:pPr>
      <w:r>
        <w:rPr>
          <w:rFonts w:ascii="游ゴシック" w:cs="游ゴシック" w:eastAsia="游ゴシック" w:hAnsi="游ゴシック"/>
          <w:b w:val="1"/>
          <w:bCs w:val="1"/>
          <w:i w:val="false"/>
          <w:iCs w:val="false"/>
          <w:sz w:val="22"/>
          <w:szCs w:val="22"/>
        </w:rPr>
        <w:t>▌ 調査の概要</w:t>
      </w:r>
    </w:p>
    <w:p>
      <w:pPr>
        <w:spacing w:after="80" w:before="50" w:line="320"/>
        <w:ind w:firstLine="200"/>
        <w:jc w:val="left"/>
      </w:pPr>
      <w:r>
        <w:rPr>
          <w:rFonts w:ascii="游ゴシック" w:cs="游ゴシック" w:eastAsia="游ゴシック" w:hAnsi="游ゴシック"/>
          <w:i w:val="false"/>
          <w:iCs w:val="false"/>
          <w:sz w:val="21"/>
          <w:szCs w:val="21"/>
        </w:rPr>
        <w:t xml:space="preserve">いずれも令和8年6月から7月にかけて郵送により配布し、郵送により回収しました。下表の人数は委託仕様書6(1)に定める対象者数であり、実際に発送した通数（配布数）とは異なります。配布数・回収数・回収率及び有効票の判定基準は確認中です【町確認】。割合は、設問ごとに無回答を除いた有効回答数（n）を分母として算出しています（体格（BMI）区分のみ有効票576件を分母とします）。ニーズ調査の個票には回答者の性別・年齢階級等の属性が記録されていないため、属性別の集計は行っていません。</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調査</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委託仕様書上の対象者数</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有効票</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介護予防・日常生活圏域ニーズ調査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要介護認定を受けていない65歳以上の方　1,000名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576件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在宅介護実態調査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要支援・要介護認定者　300名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142件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配布数・回収数・回収率</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【町確認】（発送通数と返送総数を別に把握）</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【町確認】</w:t>
            </w:r>
          </w:p>
        </w:tc>
      </w:tr>
    </w:tbl>
    <w:p>
      <w:pPr>
        <w:spacing w:after="80" w:before="180" w:line="300"/>
      </w:pPr>
      <w:r>
        <w:rPr>
          <w:rFonts w:ascii="游ゴシック" w:cs="游ゴシック" w:eastAsia="游ゴシック" w:hAnsi="游ゴシック"/>
          <w:b w:val="1"/>
          <w:bCs w:val="1"/>
          <w:i w:val="false"/>
          <w:iCs w:val="false"/>
          <w:sz w:val="22"/>
          <w:szCs w:val="22"/>
        </w:rPr>
        <w:t>▌ 世帯構成と生活基盤（ニーズ調査）</w:t>
      </w:r>
    </w:p>
    <w:p>
      <w:pPr>
        <w:spacing w:after="80" w:before="50" w:line="320"/>
        <w:ind w:firstLine="200"/>
        <w:jc w:val="left"/>
      </w:pPr>
      <w:r>
        <w:rPr>
          <w:rFonts w:ascii="游ゴシック" w:cs="游ゴシック" w:eastAsia="游ゴシック" w:hAnsi="游ゴシック"/>
          <w:i w:val="false"/>
          <w:iCs w:val="false"/>
          <w:sz w:val="21"/>
          <w:szCs w:val="21"/>
        </w:rPr>
        <w:t>1人暮らしと夫婦2人暮らし（配偶者65歳以上）を合わせた高齢者のみの世帯が48.2％を占め、配偶者が64歳以下の世帯を含めると52.8％と、およそ半数に上ります。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項目</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調査結果</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補足</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1人暮らし</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14.7％（83件）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n=564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夫婦2人暮らし（配偶者65歳以上）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33.5％（189件）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高齢者のみの世帯は合わせて48.2％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息子・娘との2世帯</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23.0％（130件）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その他24.1％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普段の介護・介助が必要ない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85.6％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「必要だが受けていない」8.4％、「受けている」5.9％（n=557）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経済的に苦しい（大変＋やや）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31.4％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n=560。健康状態の悪化と関連がみられる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持家（一戸建て）</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n=556</w:t>
            </w:r>
          </w:p>
        </w:tc>
      </w:tr>
    </w:tbl>
    <w:p>
      <w:pPr>
        <w:spacing w:after="80" w:before="180" w:line="300"/>
      </w:pPr>
      <w:r>
        <w:rPr>
          <w:rFonts w:ascii="游ゴシック" w:cs="游ゴシック" w:eastAsia="游ゴシック" w:hAnsi="游ゴシック"/>
          <w:b w:val="1"/>
          <w:bCs w:val="1"/>
          <w:i w:val="false"/>
          <w:iCs w:val="false"/>
          <w:sz w:val="22"/>
          <w:szCs w:val="22"/>
        </w:rPr>
        <w:t>▌ 身体機能・転倒・外出（ニーズ調査）</w:t>
      </w:r>
    </w:p>
    <w:p>
      <w:pPr>
        <w:spacing w:after="80" w:before="50" w:line="320"/>
        <w:ind w:firstLine="200"/>
        <w:jc w:val="left"/>
      </w:pPr>
      <w:r>
        <w:rPr>
          <w:rFonts w:ascii="游ゴシック" w:cs="游ゴシック" w:eastAsia="游ゴシック" w:hAnsi="游ゴシック"/>
          <w:i w:val="false"/>
          <w:iCs w:val="false"/>
          <w:sz w:val="21"/>
          <w:szCs w:val="21"/>
        </w:rPr>
        <w:t xml:space="preserve">転倒の経験と不安、外出控えは相互に関連しています。転倒不安が「とても」大きい層では外出を控えている割合が48.1％（n=77・37件）に達し、不安が「ない」層（6.0％・n=84・5件）の約8.1倍でした。移動手段は自動車への依存が大きく、運転が困難になった場合の移動手段の確保が課題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項目</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調査結果</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補足</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過去1年間に転倒した経験がある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33.6％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「何度もある」11.0％＋「1度ある」22.6％（n=572）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転倒に対する不安がある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51.9％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「とても」14.2％＋「やや」37.8％（n=543）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外出を控えている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19.1％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n=540。理由は足腰などの痛み55.4％、交通手段がない19.8％（n=101）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移動手段：自動車（自分で運転）</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74.1％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n=536</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移動手段：路線バス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タクシー3.2％。公共交通の利用は極めて少ない</w:t>
            </w:r>
          </w:p>
        </w:tc>
      </w:tr>
    </w:tbl>
    <w:p>
      <w:pPr>
        <w:spacing w:after="80" w:before="180" w:line="300"/>
      </w:pPr>
      <w:r>
        <w:rPr>
          <w:rFonts w:ascii="游ゴシック" w:cs="游ゴシック" w:eastAsia="游ゴシック" w:hAnsi="游ゴシック"/>
          <w:b w:val="1"/>
          <w:bCs w:val="1"/>
          <w:i w:val="false"/>
          <w:iCs w:val="false"/>
          <w:sz w:val="22"/>
          <w:szCs w:val="22"/>
        </w:rPr>
        <w:t>▌ 社会参加と担い手（ニーズ調査）</w:t>
      </w:r>
    </w:p>
    <w:p>
      <w:pPr>
        <w:spacing w:after="80" w:before="50" w:line="320"/>
        <w:ind w:firstLine="200"/>
        <w:jc w:val="left"/>
      </w:pPr>
      <w:r>
        <w:rPr>
          <w:rFonts w:ascii="游ゴシック" w:cs="游ゴシック" w:eastAsia="游ゴシック" w:hAnsi="游ゴシック"/>
          <w:i w:val="false"/>
          <w:iCs w:val="false"/>
          <w:sz w:val="21"/>
          <w:szCs w:val="21"/>
        </w:rPr>
        <w:t xml:space="preserve">組織的な活動への参加は限定的である一方、新たなグループ活動への参加意向は半数を超えています。ただし企画・運営（お世話役）として関わる意向は4割にとどまり、担い手の確保が課題です。また、生きがいの内容を自由記述で尋ねたところ、回答256件のうち「孫」に関する記述が65件（25.4％）と突出しており、次いで農作業・旅行・仕事が挙げられています。通いの場への参加を促す施策だけでは届かない層が一定数あることを示しており、世代間交流や、農作業・就労の継続を生きがいとして支える視点が必要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項目</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調査結果</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補足</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通いの場に参加していない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84.1％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n=439。参加率は15.9％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その他の活動に参加していない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学習89.0％・老人クラブ84.1％・町内会59.4％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ボランティア77.6％・スポーツ76.1％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グループ活動に参加者として参加したい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55.2％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「是非」9.2％＋「参加してもよい」46.0％（n=543）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企画・運営として参加したい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41.4％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n=539。担い手の確保が課題</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趣味がある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68.1％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生きがいがある55.3％（n=519）。両者には強い関連（χ²検定 p＜0.001、Cramér's V=0.570、n=506）</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生きがいの内容（自由記述256件）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「孫」に関する記述が65件（25.4％）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農作業23件・旅行19件・仕事19件（記述に当該語を含むもの）</w:t>
            </w:r>
          </w:p>
        </w:tc>
      </w:tr>
    </w:tbl>
    <w:p>
      <w:pPr>
        <w:spacing w:after="80" w:before="180" w:line="300"/>
      </w:pPr>
      <w:r>
        <w:rPr>
          <w:rFonts w:ascii="游ゴシック" w:cs="游ゴシック" w:eastAsia="游ゴシック" w:hAnsi="游ゴシック"/>
          <w:b w:val="1"/>
          <w:bCs w:val="1"/>
          <w:i w:val="false"/>
          <w:iCs w:val="false"/>
          <w:sz w:val="22"/>
          <w:szCs w:val="22"/>
        </w:rPr>
        <w:t>▌ 健康・こころ・認知症（ニーズ調査）</w:t>
      </w:r>
    </w:p>
    <w:p>
      <w:pPr>
        <w:spacing w:after="80" w:before="50" w:line="320"/>
        <w:ind w:firstLine="200"/>
        <w:jc w:val="left"/>
      </w:pPr>
      <w:r>
        <w:rPr>
          <w:rFonts w:ascii="游ゴシック" w:cs="游ゴシック" w:eastAsia="游ゴシック" w:hAnsi="游ゴシック"/>
          <w:i w:val="false"/>
          <w:iCs w:val="false"/>
          <w:sz w:val="21"/>
          <w:szCs w:val="21"/>
        </w:rPr>
        <w:t>経済状況が「大変苦しい」層では健康状態が「あまりよくない・よくない」の割合が40.5％に達し、「ふつう」層（20.7％）の約2.0倍でした。認知症の相談窓口の認知度は5割に届いておらず、物忘れを自覚している層でも高まっていません（42.7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項目</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調査結果</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補足</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健康状態が良くない（あまり＋よくない）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23.6％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n=551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この1か月に気分が沈むことがあった</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34.7％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物事に興味がわかなかった25.0％（n=541）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物忘れが多いと感じる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41.8％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今日が何月何日かわからない時がある30.3％（n=558）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治療中の病気：高血圧</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54.2％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目の病気22.2％・高脂血症18.0％・筋骨格18.0％・糖尿病17.6％（n=528）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本人又は家族に認知症の症状がある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11.1％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n=541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認知症の相談窓口を知っている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47.7％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n=547。知らない52.3％</w:t>
            </w:r>
          </w:p>
        </w:tc>
      </w:tr>
    </w:tbl>
    <w:p>
      <w:pPr>
        <w:spacing w:after="80" w:before="180" w:line="300"/>
      </w:pPr>
      <w:r>
        <w:rPr>
          <w:rFonts w:ascii="游ゴシック" w:cs="游ゴシック" w:eastAsia="游ゴシック" w:hAnsi="游ゴシック"/>
          <w:b w:val="1"/>
          <w:bCs w:val="1"/>
          <w:i w:val="false"/>
          <w:iCs w:val="false"/>
          <w:sz w:val="22"/>
          <w:szCs w:val="22"/>
        </w:rPr>
        <w:t>▌ 相談・支援体制（ニーズ調査）</w:t>
      </w:r>
    </w:p>
    <w:p>
      <w:pPr>
        <w:spacing w:after="80" w:before="50" w:line="320"/>
        <w:ind w:firstLine="200"/>
        <w:jc w:val="left"/>
      </w:pPr>
      <w:r>
        <w:rPr>
          <w:rFonts w:ascii="游ゴシック" w:cs="游ゴシック" w:eastAsia="游ゴシック" w:hAnsi="游ゴシック"/>
          <w:i w:val="false"/>
          <w:iCs w:val="false"/>
          <w:sz w:val="21"/>
          <w:szCs w:val="21"/>
        </w:rPr>
        <w:t xml:space="preserve">家族・友人以外に相談できる相手が「いない」との回答は、世帯構成によって37.0％から43.5％の範囲にあり、統計的な有意差は認められませんでした（χ²検定 p=0.366）。相談窓口の不在は独居かどうかによらない共通の課題であり、対象を絞らない全戸的な周知が有効と考えられます。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項目</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調査結果</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補足</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家族・友人以外に相談できる相手がいない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38.8％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n=484。世帯構成による差は小さい（37.0〜43.5％）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心配事や愚痴を聞いてくれる人がいない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看病や世話をしてくれる人がいない3.6％（n=554）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友人・知人と会う頻度がほとんどない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この1か月に会った友人・知人が0人 8.9％（n=540）</w:t>
            </w:r>
          </w:p>
        </w:tc>
      </w:tr>
    </w:tbl>
    <w:p>
      <w:pPr>
        <w:spacing w:after="80" w:before="180" w:line="300"/>
      </w:pPr>
      <w:r>
        <w:rPr>
          <w:rFonts w:ascii="游ゴシック" w:cs="游ゴシック" w:eastAsia="游ゴシック" w:hAnsi="游ゴシック"/>
          <w:b w:val="1"/>
          <w:bCs w:val="1"/>
          <w:i w:val="false"/>
          <w:iCs w:val="false"/>
          <w:sz w:val="22"/>
          <w:szCs w:val="22"/>
        </w:rPr>
        <w:t>▌ 在宅の要介護者と家族介護者の状況（在宅介護実態調査）</w:t>
      </w:r>
    </w:p>
    <w:p>
      <w:pPr>
        <w:spacing w:after="80" w:before="50" w:line="320"/>
        <w:ind w:firstLine="200"/>
        <w:jc w:val="left"/>
      </w:pPr>
      <w:r>
        <w:rPr>
          <w:rFonts w:ascii="游ゴシック" w:cs="游ゴシック" w:eastAsia="游ゴシック" w:hAnsi="游ゴシック"/>
          <w:i w:val="false"/>
          <w:iCs w:val="false"/>
          <w:sz w:val="21"/>
          <w:szCs w:val="21"/>
        </w:rPr>
        <w:t xml:space="preserve">施設等への入所の申込みは、要介護度の重さよりも世帯の状況（単身かどうか・家族介護者がいるかどうか）と強く関連しています。家族・親族の介護が「ない」層では56.9％が申込済みであり、介護が「ある」層（13.5％）の4.2倍です。関連の強さ（Cramér's V）は家族介護の有無が0.460で最も大きく、サービス利用の有無0.361、世帯類型0.342、要介護度0.286と続きます。一方、割合のポイント差で比べると、単身世帯69.4％と「その他（子との同居等）」18.6％の50.8ポイント差が最大で、家族介護の有無の43.4ポイント差を上回ります。いずれの尺度でも、要介護度より世帯の状況の方が強く関連しています。また、家族の介護もなく介護保険サービスも利用していない世帯が50件（36.2％）確認されました。在宅認定者約369人に単純外挿した感度試算では約134人規模となりますが、実人数の確定値ではありません。</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項目</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調査結果</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補足</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施設等への入所・入居を申込済み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33.8％（47件）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検討中14.4％を合わせて48.2％（n=139）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うち本人が回答した票</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13.9％（36件中5件）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回答者の68.1％は家族・親族。世帯としての検討状況であり本人の意思ではない</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家族・親族の介護が「ない」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45.8％（65件）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この層の56.9％が申込済み（介護が「ある」層は13.5％。V=0.460）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単身世帯の施設申込済み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69.4％（25／36件）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分類「その他（子との同居等）」の世帯18.6％の3.7倍。50.8ポイント差</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介護保険サービスを利用していない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58.7％（81件）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未利用層の48.8％が申込済み（利用層は14.3％・n=138）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家族介護もサービス利用もない世帯</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50件（36.2％）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両設問に有効回答があった138件が分母。この50件の64.0％が申込済み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主な介護者が離職した世帯</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9件（13.2％）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離職・転職を含めると13件（19.1％・n=68）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主な介護者の70歳以上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42.1％（32件）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n=76。第9期35.3％から＋6.8ポイント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主な介護者の不安（最多）</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外出の付き添い・送迎等／認知症状への対応　ともに33.3％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入浴・洗身26.7％、食事準備24.0％（n=75）</w:t>
            </w:r>
          </w:p>
        </w:tc>
      </w:tr>
    </w:tbl>
    <w:p>
      <w:pPr>
        <w:spacing w:after="80" w:before="180" w:line="300"/>
      </w:pPr>
      <w:r>
        <w:rPr>
          <w:rFonts w:ascii="游ゴシック" w:cs="游ゴシック" w:eastAsia="游ゴシック" w:hAnsi="游ゴシック"/>
          <w:b w:val="1"/>
          <w:bCs w:val="1"/>
          <w:i w:val="false"/>
          <w:iCs w:val="false"/>
          <w:sz w:val="22"/>
          <w:szCs w:val="22"/>
        </w:rPr>
        <w:t xml:space="preserve">　▌ 施設入所の申込みは何によって分かれるか（在宅介護実態調査）</w:t>
      </w:r>
    </w:p>
    <w:p>
      <w:pPr>
        <w:spacing w:after="80" w:before="50" w:line="320"/>
        <w:ind w:firstLine="200"/>
        <w:jc w:val="left"/>
      </w:pPr>
      <w:r>
        <w:rPr>
          <w:rFonts w:ascii="游ゴシック" w:cs="游ゴシック" w:eastAsia="游ゴシック" w:hAnsi="游ゴシック"/>
          <w:i w:val="false"/>
          <w:iCs w:val="false"/>
          <w:sz w:val="21"/>
          <w:szCs w:val="21"/>
        </w:rPr>
        <w:t xml:space="preserve">世帯類型と家族介護の有無は互いに関連していますが（単身世帯では家族介護が「ない」割合が66.7％）、一方を固定してももう一方による差が残ります。世帯類型ごとに家族介護の有無で分けると、いずれの世帯類型でも家族介護がない方が申込済みの割合が28.8〜41.6ポイント高くなります。逆に家族介護の有無を固定しても、単身世帯の方が「その他（子との同居等）」より33.0〜45.8ポイント高くなります。両者はそれぞれ独立に申込みと関連しており、最も高いのは「単身世帯かつ家族介護なし」の83.3％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4"/>
        <w:gridCol w:w="104"/>
        <w:gridCol w:w="104"/>
        <w:gridCol w:w="88"/>
      </w:tblGrid>
      <w:tr>
        <w:tc>
          <w:tcPr>
            <w:tcW w:type="dxa" w:w="10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世帯類型</w:t>
            </w:r>
          </w:p>
        </w:tc>
        <w:tc>
          <w:tcPr>
            <w:tcW w:type="dxa" w:w="10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家族介護なし</w:t>
            </w:r>
          </w:p>
        </w:tc>
        <w:tc>
          <w:tcPr>
            <w:tcW w:type="dxa" w:w="10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家族介護あり</w:t>
            </w:r>
          </w:p>
        </w:tc>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差</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単身世帯</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83.3％（20／24件）</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41.7％（5／12件）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41.6ポイント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夫婦のみ世帯</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47.1％（8／17件）</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6.7％（1／15件）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40.4ポイント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その他（子との同居等）</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37.5％（9／24件）</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8.7％（4／46件）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28.8ポイント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差（単身−その他）</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45.8ポイント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33.0ポイント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w:t>
            </w:r>
          </w:p>
        </w:tc>
      </w:tr>
    </w:tbl>
    <w:p>
      <w:pPr>
        <w:spacing w:after="80" w:before="50" w:line="320"/>
        <w:ind w:firstLine="200"/>
        <w:jc w:val="left"/>
      </w:pPr>
      <w:r>
        <w:rPr>
          <w:rFonts w:ascii="游ゴシック" w:cs="游ゴシック" w:eastAsia="游ゴシック" w:hAnsi="游ゴシック"/>
          <w:i w:val="false"/>
          <w:iCs w:val="false"/>
          <w:sz w:val="21"/>
          <w:szCs w:val="21"/>
        </w:rPr>
        <w:t xml:space="preserve">⚠ 該当件数が10件未満の層を含みます（単身世帯・家族介護ありは12件、夫婦のみ世帯は17件と15件、その他・家族介護なしは24件）。件数を併記していますので、割合は幅をもってお読みください。施策の対象を絞る際は、地域包括支援センターの相談記録及びケアマネジャーの把握と突き合わせて確認します。</w:t>
      </w:r>
    </w:p>
    <w:p>
      <w:pPr>
        <w:spacing w:after="80" w:before="180" w:line="300"/>
      </w:pPr>
      <w:r>
        <w:rPr>
          <w:rFonts w:ascii="游ゴシック" w:cs="游ゴシック" w:eastAsia="游ゴシック" w:hAnsi="游ゴシック"/>
          <w:b w:val="1"/>
          <w:bCs w:val="1"/>
          <w:i w:val="false"/>
          <w:iCs w:val="false"/>
          <w:sz w:val="22"/>
          <w:szCs w:val="22"/>
        </w:rPr>
        <w:t xml:space="preserve">　▌ 第9期調査との比較（ニーズ調査・在宅介護実態調査）</w:t>
      </w:r>
    </w:p>
    <w:p>
      <w:pPr>
        <w:spacing w:after="80" w:before="50" w:line="320"/>
        <w:ind w:firstLine="200"/>
        <w:jc w:val="left"/>
      </w:pPr>
      <w:r>
        <w:rPr>
          <w:rFonts w:ascii="游ゴシック" w:cs="游ゴシック" w:eastAsia="游ゴシック" w:hAnsi="游ゴシック"/>
          <w:i w:val="false"/>
          <w:iCs w:val="false"/>
          <w:sz w:val="21"/>
          <w:szCs w:val="21"/>
        </w:rPr>
        <w:t xml:space="preserve">第9期計画策定時の調査と比較可能な指標は次のとおりです。第9期は無回答を基数に含めているのに対し本調査は無回答を分母から除いているため、基数を揃えて再計算しています。「（換算値）」を付した指標は、第9期の公表値を無回答を除いた基数に換算したうえで比較したものです。主な介護者の70歳以上が6.8ポイント、働きながらの介護継続が「難しい」が8.4ポイント上昇しており、介護者の高齢化と就労世代の両立困難が同時に進んで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0"/>
        <w:gridCol w:w="80"/>
        <w:gridCol w:w="80"/>
        <w:gridCol w:w="80"/>
      </w:tblGrid>
      <w:tr>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指標</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第9期</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今回</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差</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主な介護者の70歳以上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35.3％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42.1％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＋6.8ポイント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働きながらの介護継続が「難しい」計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17.2％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25.6％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＋8.4ポイント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治療中の病気：高血圧</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47.3％（換算値）</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54.2％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＋6.9ポイント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治療中の病気：筋骨格の病気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11.6％（換算値）</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18.0％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＋6.4ポイント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介護が必要になった理由：骨折・転倒</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14.3％（換算値）</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21.5％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＋7.2ポイント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介護・介助が必要だが受けていない</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8.7％</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8.2％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▲0.5ポイント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閉じこもりリスク（外出が週1回以下）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30.4％</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26.9％</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▲3.5ポイント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低栄養リスク（第9期の定義＝BMI18.5未満）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▲1.0ポイント</w:t>
            </w:r>
          </w:p>
        </w:tc>
      </w:tr>
    </w:tbl>
    <w:p>
      <w:pPr>
        <w:spacing w:after="80" w:before="50" w:line="320"/>
        <w:ind w:firstLine="200"/>
        <w:jc w:val="left"/>
      </w:pPr>
      <w:r>
        <w:rPr>
          <w:rFonts w:ascii="游ゴシック" w:cs="游ゴシック" w:eastAsia="游ゴシック" w:hAnsi="游ゴシック"/>
          <w:i w:val="false"/>
          <w:iCs w:val="false"/>
          <w:sz w:val="21"/>
          <w:szCs w:val="21"/>
        </w:rPr>
        <w:t xml:space="preserve">⚠ 第9期の在宅介護実態調査は要介護1〜5の認定者を対象としていたのに対し、今回は要支援を含むため、対象者の構成が異なります【町確認】。第9期で用いていた7つの合成リスク指標（運動器機能・転倒・閉じこもり・低栄養・咀嚼機能低下・認知症・IADL）は、次期以降の経年比較のため第10期から算出を継続します。</w:t>
      </w:r>
    </w:p>
    <w:p>
      <w:pPr>
        <w:spacing w:after="80" w:before="180" w:line="300"/>
      </w:pPr>
      <w:r>
        <w:rPr>
          <w:rFonts w:ascii="游ゴシック" w:cs="游ゴシック" w:eastAsia="游ゴシック" w:hAnsi="游ゴシック"/>
          <w:b w:val="1"/>
          <w:bCs w:val="1"/>
          <w:i w:val="false"/>
          <w:iCs w:val="false"/>
          <w:sz w:val="22"/>
          <w:szCs w:val="22"/>
        </w:rPr>
        <w:t xml:space="preserve">　▌ 体格（BMI）と低栄養リスク（ニーズ調査）</w:t>
      </w:r>
    </w:p>
    <w:p>
      <w:pPr>
        <w:spacing w:after="80" w:before="50" w:line="320"/>
        <w:ind w:firstLine="200"/>
        <w:jc w:val="left"/>
      </w:pPr>
      <w:r>
        <w:rPr>
          <w:rFonts w:ascii="游ゴシック" w:cs="游ゴシック" w:eastAsia="游ゴシック" w:hAnsi="游ゴシック"/>
          <w:i w:val="false"/>
          <w:iCs w:val="false"/>
          <w:sz w:val="21"/>
          <w:szCs w:val="21"/>
        </w:rPr>
        <w:t xml:space="preserve">ニーズ調査の個票には回答者の属性が記録されていないため、身長・体重の回答から算出した体格（BMI）区分を属性に代わる分析軸として用いました。肥満層では高血圧が66.0％（n=141）と標準層（50.2％・n=325）を大きく上回っており、特定健診・保健指導の対象を客観的に絞り込む手がかりとなります。低栄養リスクに該当する方は4人（0.7％・n=576）と少数ですが、母数が小さいからこそ地域包括支援センター等による個別のフォローアップが可能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
        <w:gridCol w:w="66"/>
        <w:gridCol w:w="144"/>
      </w:tblGrid>
      <w:tr>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区分</w:t>
            </w:r>
          </w:p>
        </w:tc>
        <w:tc>
          <w:tcPr>
            <w:tcW w:type="dxa" w:w="6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割合（n=576）</w:t>
            </w:r>
          </w:p>
        </w:tc>
        <w:tc>
          <w:tcPr>
            <w:tcW w:type="dxa" w:w="14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補足</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やせ（BMI18.5未満）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5.0％（29人）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この層は転倒への不安が「とても」21.4％と相対的に高い（n=28）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標準（18.5以上25未満）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62.0％（357人）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高血圧50.2％（n=325）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肥満（25以上）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25.5％（147人）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高血圧66.0％・高脂血症20.6％と生活習慣病の割合が高い（n=141）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不明（身長又は体重が無回答）</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7.5％（43人）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低栄養リスク該当</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0.7％（4人）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BMI18.5未満かつ6か月で2〜3kg以上の体重減少。第9期の定義では5.0％</w:t>
            </w:r>
          </w:p>
        </w:tc>
      </w:tr>
    </w:tbl>
    <w:p>
      <w:pPr>
        <w:spacing w:after="80" w:before="50" w:line="320"/>
        <w:ind w:firstLine="200"/>
        <w:jc w:val="left"/>
      </w:pPr>
      <w:r>
        <w:rPr>
          <w:rFonts w:ascii="游ゴシック" w:cs="游ゴシック" w:eastAsia="游ゴシック" w:hAnsi="游ゴシック"/>
          <w:i w:val="false"/>
          <w:iCs w:val="false"/>
          <w:sz w:val="21"/>
          <w:szCs w:val="21"/>
        </w:rPr>
        <w:t xml:space="preserve">⚠ 本表の割合のみ、有効票576件を分母としています（「不明」を1区分として掲げているため）。身長・体重の双方に回答があった533人を分母とした場合はやせ5.4％・標準67.0％・肥満27.6％となります。低栄養リスクの判定は、介護予防の基本チェックリストにおける栄養状態の考え方（低体重＋体重減少）を踏まえた簡易的なもので、医学的な診断ではありません。</w:t>
      </w:r>
    </w:p>
    <w:p>
      <w:pPr>
        <w:spacing w:after="80" w:before="180" w:line="300"/>
      </w:pPr>
      <w:r>
        <w:rPr>
          <w:rFonts w:ascii="游ゴシック" w:cs="游ゴシック" w:eastAsia="游ゴシック" w:hAnsi="游ゴシック"/>
          <w:b w:val="1"/>
          <w:bCs w:val="1"/>
          <w:i w:val="false"/>
          <w:iCs w:val="false"/>
          <w:sz w:val="22"/>
          <w:szCs w:val="22"/>
        </w:rPr>
        <w:t>▌ 調査から確認された構造的な課題</w:t>
      </w:r>
    </w:p>
    <w:p>
      <w:pPr>
        <w:spacing w:after="80" w:before="80" w:line="280"/>
        <w:ind w:left="288"/>
      </w:pPr>
      <w:r>
        <w:rPr>
          <w:rFonts w:ascii="游ゴシック" w:cs="游ゴシック" w:eastAsia="游ゴシック" w:hAnsi="游ゴシック"/>
          <w:b w:val="1"/>
          <w:bCs w:val="1"/>
          <w:i w:val="false"/>
          <w:iCs w:val="false"/>
          <w:sz w:val="20"/>
          <w:szCs w:val="20"/>
        </w:rPr>
        <w:t>● 転倒の経験・転倒への不安・外出控えが連鎖している。転倒予防と外出支援は一体で検討する必要がある。</w:t>
      </w:r>
    </w:p>
    <w:p>
      <w:pPr>
        <w:spacing w:after="80" w:before="80" w:line="280"/>
        <w:ind w:left="288"/>
      </w:pPr>
      <w:r>
        <w:rPr>
          <w:rFonts w:ascii="游ゴシック" w:cs="游ゴシック" w:eastAsia="游ゴシック" w:hAnsi="游ゴシック"/>
          <w:b w:val="1"/>
          <w:bCs w:val="1"/>
          <w:i w:val="false"/>
          <w:iCs w:val="false"/>
          <w:sz w:val="20"/>
          <w:szCs w:val="20"/>
        </w:rPr>
        <w:t>● 移動が自動車に大きく依存しており（自分で運転74.1％）、運転が困難になった後の移動手段が乏しい。</w:t>
      </w:r>
    </w:p>
    <w:p>
      <w:pPr>
        <w:spacing w:after="80" w:before="80" w:line="280"/>
        <w:ind w:left="288"/>
      </w:pPr>
      <w:r>
        <w:rPr>
          <w:rFonts w:ascii="游ゴシック" w:cs="游ゴシック" w:eastAsia="游ゴシック" w:hAnsi="游ゴシック"/>
          <w:b w:val="1"/>
          <w:bCs w:val="1"/>
          <w:i w:val="false"/>
          <w:iCs w:val="false"/>
          <w:sz w:val="20"/>
          <w:szCs w:val="20"/>
        </w:rPr>
        <w:t>● グループ活動への参加意向は55.2％ある一方、企画・運営の担い手は41.4％にとどまる。</w:t>
      </w:r>
    </w:p>
    <w:p>
      <w:pPr>
        <w:spacing w:after="80" w:before="80" w:line="280"/>
        <w:ind w:left="288"/>
      </w:pPr>
      <w:r>
        <w:rPr>
          <w:rFonts w:ascii="游ゴシック" w:cs="游ゴシック" w:eastAsia="游ゴシック" w:hAnsi="游ゴシック"/>
          <w:b w:val="1"/>
          <w:bCs w:val="1"/>
          <w:i w:val="false"/>
          <w:iCs w:val="false"/>
          <w:sz w:val="20"/>
          <w:szCs w:val="20"/>
        </w:rPr>
        <w:t>● 相談窓口が届いていない。世帯構成によらず4割前後が家族・友人以外の相談相手を持たない。</w:t>
      </w:r>
    </w:p>
    <w:p>
      <w:pPr>
        <w:spacing w:after="80" w:before="80" w:line="280"/>
        <w:ind w:left="288"/>
      </w:pPr>
      <w:r>
        <w:rPr>
          <w:rFonts w:ascii="游ゴシック" w:cs="游ゴシック" w:eastAsia="游ゴシック" w:hAnsi="游ゴシック"/>
          <w:b w:val="1"/>
          <w:bCs w:val="1"/>
          <w:i w:val="false"/>
          <w:iCs w:val="false"/>
          <w:sz w:val="20"/>
          <w:szCs w:val="20"/>
        </w:rPr>
        <w:t xml:space="preserve">● 在宅の要介護者では、施設入所の申込みは要介護度よりも世帯の状況（単身かどうか・家族介護者がいるかどうか）と強く関連している。最も高いのは「単身世帯かつ家族介護なし」で、24件中20件（83.3％）が申込済みである。</w:t>
      </w:r>
    </w:p>
    <w:p>
      <w:pPr>
        <w:spacing w:after="100" w:before="200" w:line="320"/>
      </w:pPr>
      <w:r>
        <w:rPr>
          <w:rFonts w:ascii="游ゴシック" w:cs="游ゴシック" w:eastAsia="游ゴシック" w:hAnsi="游ゴシック"/>
          <w:b w:val="1"/>
          <w:bCs w:val="1"/>
          <w:i w:val="false"/>
          <w:iCs w:val="false"/>
          <w:sz w:val="25"/>
          <w:szCs w:val="25"/>
        </w:rPr>
        <w:t xml:space="preserve">2-7　サービス供給体制の状況</w:t>
      </w:r>
    </w:p>
    <w:p>
      <w:pPr>
        <w:spacing w:after="80" w:before="50" w:line="320"/>
        <w:ind w:firstLine="200"/>
        <w:jc w:val="left"/>
      </w:pPr>
      <w:r>
        <w:rPr>
          <w:rFonts w:ascii="游ゴシック" w:cs="游ゴシック" w:eastAsia="游ゴシック" w:hAnsi="游ゴシック"/>
          <w:i w:val="false"/>
          <w:iCs w:val="false"/>
          <w:sz w:val="21"/>
          <w:szCs w:val="21"/>
        </w:rPr>
        <w:t xml:space="preserve">本節は、第10期計画において新たに設けるものです。第9期計画までは、需要側（高齢者数・要介護認定者数・サービス利用者数）の分析はありましたが、供給側（事業所・職員・供給余力）のデータを置く節がありませんでした。令和8年9月2日の第1回策定委員会において、介護人材とサービス提供体制が最大の論点となったことを踏まえ、供給側の状況を独立した節として整理します。</w:t>
      </w:r>
    </w:p>
    <w:p>
      <w:pPr>
        <w:spacing w:after="80" w:before="180" w:line="300"/>
      </w:pPr>
      <w:r>
        <w:rPr>
          <w:rFonts w:ascii="游ゴシック" w:cs="游ゴシック" w:eastAsia="游ゴシック" w:hAnsi="游ゴシック"/>
          <w:b w:val="1"/>
          <w:bCs w:val="1"/>
          <w:i w:val="false"/>
          <w:iCs w:val="false"/>
          <w:sz w:val="22"/>
          <w:szCs w:val="22"/>
        </w:rPr>
        <w:t xml:space="preserve">　▌ 町域の特性</w:t>
      </w:r>
    </w:p>
    <w:p>
      <w:pPr>
        <w:spacing w:after="80" w:before="50" w:line="320"/>
        <w:ind w:firstLine="200"/>
        <w:jc w:val="left"/>
      </w:pPr>
      <w:r>
        <w:rPr>
          <w:rFonts w:ascii="游ゴシック" w:cs="游ゴシック" w:eastAsia="游ゴシック" w:hAnsi="游ゴシック"/>
          <w:i w:val="false"/>
          <w:iCs w:val="false"/>
          <w:sz w:val="21"/>
          <w:szCs w:val="21"/>
        </w:rPr>
        <w:t xml:space="preserve">川崎町は宮城県南西部、蔵王連峰の麓に位置し、町域の大部分が山岳・丘陵地帯です。また、過疎地域の持続的発展の支援に関する特別措置法第2条第1項に規定する過疎地域（全部過疎）に指定されています。この地形と人口密度の低さは、介護サービスの提供、とくに訪問系サービスの移動時間と移動費用に直接影響します。</w:t>
      </w:r>
    </w:p>
    <w:p>
      <w:pPr>
        <w:spacing w:after="80" w:before="50" w:line="320"/>
        <w:ind w:firstLine="200"/>
        <w:jc w:val="left"/>
      </w:pPr>
      <w:r>
        <w:rPr>
          <w:rFonts w:ascii="游ゴシック" w:cs="游ゴシック" w:eastAsia="游ゴシック" w:hAnsi="游ゴシック"/>
          <w:i w:val="false"/>
          <w:iCs w:val="false"/>
          <w:sz w:val="21"/>
          <w:szCs w:val="21"/>
        </w:rPr>
        <w:t xml:space="preserve">施設・事業所は役場周辺に偏在しており、中山間部の住民にとっては距離が利用の障壁となります。一方で、町外施設の利用（住所地特例24人・令和7年6月時点）も常態化しており、町民の介護サービス利用は町内の供給量だけでは説明できない構造にあります。</w:t>
      </w:r>
    </w:p>
    <w:p>
      <w:pPr>
        <w:spacing w:after="80" w:before="180" w:line="300"/>
      </w:pPr>
      <w:r>
        <w:rPr>
          <w:rFonts w:ascii="游ゴシック" w:cs="游ゴシック" w:eastAsia="游ゴシック" w:hAnsi="游ゴシック"/>
          <w:b w:val="1"/>
          <w:bCs w:val="1"/>
          <w:i w:val="false"/>
          <w:iCs w:val="false"/>
          <w:sz w:val="22"/>
          <w:szCs w:val="22"/>
        </w:rPr>
        <w:t xml:space="preserve">　▌ 把握すべき供給側のデータ</w:t>
      </w:r>
    </w:p>
    <w:p>
      <w:pPr>
        <w:spacing w:after="80" w:before="50" w:line="320"/>
        <w:ind w:firstLine="200"/>
        <w:jc w:val="left"/>
      </w:pPr>
      <w:r>
        <w:rPr>
          <w:rFonts w:ascii="游ゴシック" w:cs="游ゴシック" w:eastAsia="游ゴシック" w:hAnsi="游ゴシック"/>
          <w:i w:val="false"/>
          <w:iCs w:val="false"/>
          <w:sz w:val="21"/>
          <w:szCs w:val="21"/>
        </w:rPr>
        <w:t xml:space="preserve">本節に掲載する供給側のデータは次のとおり整理します。現時点では町からのご提供及び事業所ヒアリングを待つ項目が多く、Ver.2.0で確定します。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88"/>
        <w:gridCol w:w="192"/>
        <w:gridCol w:w="56"/>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区分</w:t>
            </w:r>
          </w:p>
        </w:tc>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把握する項目</w:t>
            </w:r>
          </w:p>
        </w:tc>
        <w:tc>
          <w:tcPr>
            <w:tcW w:type="dxa" w:w="19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現時点で判明していること</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確認事項</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事業所・施設</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名称・種別・定員・所在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特別養護老人ホーム1施設、介護老人保健施設1施設、小規模多機能型居宅介護等の地域密着型サービスが中心</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No.29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定員と稼働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利用者数・稼働率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No.29・No.50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職員数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職員数の推移と見通し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第1回策定委員会で、利用者87名に対し職員80名、今後50名となる見込みとの報告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No.50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訪問系の供給余力</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登録者数と実働者数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訪問介護は町内で登録21名に対し実働4名との報告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No.51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町外施設の利用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住所地特例を含む所在自治体別の内訳</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住所地特例24人（令和7年6月時点）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No.12</w:t>
            </w:r>
          </w:p>
        </w:tc>
      </w:tr>
    </w:tbl>
    <w:p>
      <w:pPr>
        <w:spacing w:after="80" w:before="180" w:line="300"/>
      </w:pPr>
      <w:r>
        <w:rPr>
          <w:rFonts w:ascii="游ゴシック" w:cs="游ゴシック" w:eastAsia="游ゴシック" w:hAnsi="游ゴシック"/>
          <w:b w:val="1"/>
          <w:bCs w:val="1"/>
          <w:i w:val="false"/>
          <w:iCs w:val="false"/>
          <w:sz w:val="22"/>
          <w:szCs w:val="22"/>
        </w:rPr>
        <w:t xml:space="preserve">　▌ 供給制約を示す事象</w:t>
      </w:r>
    </w:p>
    <w:p>
      <w:pPr>
        <w:spacing w:after="80" w:before="50" w:line="320"/>
        <w:ind w:firstLine="200"/>
        <w:jc w:val="left"/>
      </w:pPr>
      <w:r>
        <w:rPr>
          <w:rFonts w:ascii="游ゴシック" w:cs="游ゴシック" w:eastAsia="游ゴシック" w:hAnsi="游ゴシック"/>
          <w:i w:val="false"/>
          <w:iCs w:val="false"/>
          <w:sz w:val="21"/>
          <w:szCs w:val="21"/>
        </w:rPr>
        <w:t xml:space="preserve">第1回策定委員会（令和8年9月2日）では、委員から次の事象が報告されました。いずれも供給側の制約を示すものであり、第10期のサービス見込量の前提となります。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4"/>
        <w:gridCol w:w="132"/>
        <w:gridCol w:w="114"/>
      </w:tblGrid>
      <w:tr>
        <w:tc>
          <w:tcPr>
            <w:tcW w:type="dxa" w:w="5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事象</w:t>
            </w:r>
          </w:p>
        </w:tc>
        <w:tc>
          <w:tcPr>
            <w:tcW w:type="dxa" w:w="1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内容</w:t>
            </w:r>
          </w:p>
        </w:tc>
        <w:tc>
          <w:tcPr>
            <w:tcW w:type="dxa" w:w="1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想定される影響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施設の人員削減</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職員の退職により前年度に1ユニット分の人員を削減した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施設・居住系サービスの供給量が既に減少している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職員数の見通し</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利用者87名に対し職員80名。今後50名となる見込み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現在の定員を維持できない可能性がある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人材紹介の費用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人材紹介に1件約100万円の紹介料が生じ、運転資金を圧迫している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事業所の経営を圧迫し、撤退・縮小の要因となる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訪問介護の実働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町内で登録21名に対し実働4名。広大な地域で移動の負担が大きい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在宅サービスが施設需要の受け皿になり得ない</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在宅復帰の受け皿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入所施設からの在宅復帰を希望する利用者に対し、訪問看護等の体制が不十分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在宅への移行を前提とした施策が機能しない</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人員配置基準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配置基準が厳しくなる一方、機能訓練指導員・看護師・ケアマネジャーの確保が困難</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加算の取得や事業の継続に影響する</w:t>
            </w:r>
          </w:p>
        </w:tc>
      </w:tr>
    </w:tbl>
    <w:p>
      <w:pPr>
        <w:spacing w:after="80" w:before="80" w:line="280"/>
        <w:ind w:left="288"/>
      </w:pPr>
      <w:r>
        <w:rPr>
          <w:rFonts w:ascii="游ゴシック" w:cs="游ゴシック" w:eastAsia="游ゴシック" w:hAnsi="游ゴシック"/>
          <w:i/>
          <w:iCs/>
          <w:sz w:val="19"/>
          <w:szCs w:val="19"/>
        </w:rPr>
        <w:t xml:space="preserve">⚠ 本節の数値は、第1回策定委員会での委員のご発言に基づくものです。事業所ヒアリング（令和8年9〜10月・確認事項No.50・51）により事実関係を確認のうえ、Ver.2.0で確定します。</w:t>
      </w:r>
    </w:p>
    <w:p>
      <w:pPr>
        <w:pageBreakBefore/>
        <w:spacing w:after="0" w:before="0" w:line="240"/>
      </w:pPr>
      <w:r>
        <w:rPr>
          <w:rFonts w:ascii="游ゴシック" w:cs="游ゴシック" w:eastAsia="游ゴシック" w:hAnsi="游ゴシック"/>
          <w:i w:val="false"/>
          <w:iCs w:val="false"/>
          <w:sz w:val="21"/>
          <w:szCs w:val="21"/>
        </w:rPr>
        <w:t xml:space="preserve"/>
      </w:r>
    </w:p>
    <w:p>
      <w:pPr>
        <w:spacing w:after="0" w:before="240" w:line="320"/>
      </w:pPr>
      <w:r>
        <w:rPr>
          <w:rFonts w:ascii="游ゴシック" w:cs="游ゴシック" w:eastAsia="游ゴシック" w:hAnsi="游ゴシック"/>
          <w:b w:val="1"/>
          <w:bCs w:val="1"/>
          <w:i w:val="false"/>
          <w:iCs w:val="false"/>
          <w:sz w:val="30"/>
          <w:szCs w:val="30"/>
        </w:rPr>
        <w:t xml:space="preserve">第 3 章</w:t>
      </w:r>
    </w:p>
    <w:p>
      <w:pPr>
        <w:spacing w:after="140" w:before="0" w:line="320"/>
      </w:pPr>
      <w:r>
        <w:rPr>
          <w:rFonts w:ascii="游ゴシック" w:cs="游ゴシック" w:eastAsia="游ゴシック" w:hAnsi="游ゴシック"/>
          <w:b w:val="1"/>
          <w:bCs w:val="1"/>
          <w:i w:val="false"/>
          <w:iCs w:val="false"/>
          <w:sz w:val="30"/>
          <w:szCs w:val="30"/>
        </w:rPr>
        <w:t xml:space="preserve">第9期計画の取組実績と評価</w:t>
      </w:r>
    </w:p>
    <w:p>
      <w:pPr>
        <w:spacing w:after="200" w:before="200"/>
      </w:pPr>
      <w:r>
        <w:rPr>
          <w:rFonts w:ascii="游ゴシック" w:cs="游ゴシック" w:eastAsia="游ゴシック" w:hAnsi="游ゴシック"/>
          <w:i w:val="false"/>
          <w:iCs w:val="false"/>
          <w:sz w:val="21"/>
          <w:szCs w:val="21"/>
        </w:rPr>
        <w:t xml:space="preserve"/>
      </w:r>
    </w:p>
    <w:p>
      <w:pPr>
        <w:spacing w:after="100" w:before="200" w:line="320"/>
      </w:pPr>
      <w:r>
        <w:rPr>
          <w:rFonts w:ascii="游ゴシック" w:cs="游ゴシック" w:eastAsia="游ゴシック" w:hAnsi="游ゴシック"/>
          <w:b w:val="1"/>
          <w:bCs w:val="1"/>
          <w:i w:val="false"/>
          <w:iCs w:val="false"/>
          <w:sz w:val="25"/>
          <w:szCs w:val="25"/>
        </w:rPr>
        <w:t>3-1　第9期計画の体系</w:t>
      </w:r>
    </w:p>
    <w:p>
      <w:pPr>
        <w:spacing w:after="80" w:before="50" w:line="320"/>
        <w:ind w:firstLine="200"/>
        <w:jc w:val="left"/>
      </w:pPr>
      <w:r>
        <w:rPr>
          <w:rFonts w:ascii="游ゴシック" w:cs="游ゴシック" w:eastAsia="游ゴシック" w:hAnsi="游ゴシック"/>
          <w:i w:val="false"/>
          <w:iCs w:val="false"/>
          <w:sz w:val="21"/>
          <w:szCs w:val="21"/>
        </w:rPr>
        <w:t xml:space="preserve">第9期計画（令和6〜8年度）は、第8期計画の体系を踏襲しつつ、地域包括ケアシステムのさらなる深化を目指し、以下の基本理念と5つの基本方針のもとに体系化されました。第10期計画は、この考え方を基本的に継承したうえで、施策の整理の単位を「基本目標」に改め、認知症施策を独立させて再構成します（対応関係は4-2に示します）。</w:t>
      </w:r>
    </w:p>
    <w:p>
      <w:pPr>
        <w:spacing w:after="80" w:before="180" w:line="300"/>
      </w:pPr>
      <w:r>
        <w:rPr>
          <w:rFonts w:ascii="游ゴシック" w:cs="游ゴシック" w:eastAsia="游ゴシック" w:hAnsi="游ゴシック"/>
          <w:b w:val="1"/>
          <w:bCs w:val="1"/>
          <w:i w:val="false"/>
          <w:iCs w:val="false"/>
          <w:sz w:val="22"/>
          <w:szCs w:val="22"/>
        </w:rPr>
        <w:t xml:space="preserve">　▌ 第9期計画策定の経緯</w:t>
      </w:r>
    </w:p>
    <w:p>
      <w:pPr>
        <w:spacing w:after="80" w:before="50" w:line="320"/>
        <w:ind w:firstLine="200"/>
        <w:jc w:val="left"/>
      </w:pPr>
      <w:r>
        <w:rPr>
          <w:rFonts w:ascii="游ゴシック" w:cs="游ゴシック" w:eastAsia="游ゴシック" w:hAnsi="游ゴシック"/>
          <w:i w:val="false"/>
          <w:iCs w:val="false"/>
          <w:sz w:val="21"/>
          <w:szCs w:val="21"/>
        </w:rPr>
        <w:t xml:space="preserve">第9期計画は令和6年3月に町長へ答申され、同年6月に確定・公表されました。前期（第8期）の策定業者は福祉工房でした。第9期策定では、ニーズ調査・在宅介護実態調査、パブリックコメント（令和6年1月31日〜2月9日に実施）、及び川崎町介護保険運営委員会における審議を経て、町民意見の集約が図られました。</w:t>
      </w:r>
    </w:p>
    <w:p>
      <w:pPr>
        <w:spacing w:after="80" w:before="50" w:line="320"/>
        <w:ind w:firstLine="200"/>
        <w:jc w:val="left"/>
      </w:pPr>
      <w:r>
        <w:rPr>
          <w:rFonts w:ascii="游ゴシック" w:cs="游ゴシック" w:eastAsia="游ゴシック" w:hAnsi="游ゴシック"/>
          <w:i w:val="false"/>
          <w:iCs w:val="false"/>
          <w:sz w:val="21"/>
          <w:szCs w:val="21"/>
        </w:rPr>
        <w:t xml:space="preserve">第9期計画は、町の最上位計画である「第6次川崎町長期総合計画」がまちづくりの基本方針の一つに掲げる「子供も大人も誰もが健やかに暮らせるまちづくり（可わさき）」及び第8期計画までの基本的な考え方を引き継ぎ、「誰もが健やかに暮らせるまちづくり」を基本理念として、健康づくり・安心して暮らせるまちづくり・地域生活の支援・地域支援事業・介護給付の5つの基本方針により体系化されました。第10期計画では、基本理念が長期総合計画の基本方針と一体のものであることを踏まえ、この体系を継承するとともに、認知症基本法対応（独立章化）、サービス提供体制と介護人材の確保、移動支援の再構築など、新たな課題を追加して体系化します。</w:t>
      </w:r>
    </w:p>
    <w:p>
      <w:pPr>
        <w:spacing w:after="80" w:before="180" w:line="300"/>
      </w:pPr>
      <w:r>
        <w:rPr>
          <w:rFonts w:ascii="游ゴシック" w:cs="游ゴシック" w:eastAsia="游ゴシック" w:hAnsi="游ゴシック"/>
          <w:b w:val="1"/>
          <w:bCs w:val="1"/>
          <w:i w:val="false"/>
          <w:iCs w:val="false"/>
          <w:sz w:val="22"/>
          <w:szCs w:val="22"/>
        </w:rPr>
        <w:t xml:space="preserve">　▌ 第9期計画の体系</w:t>
      </w:r>
    </w:p>
    <w:p>
      <w:pPr>
        <w:spacing w:after="80" w:before="50" w:line="320"/>
        <w:ind w:firstLine="200"/>
        <w:jc w:val="right"/>
      </w:pPr>
      <w:r>
        <w:rPr>
          <w:rFonts w:ascii="游ゴシック" w:cs="游ゴシック" w:eastAsia="游ゴシック" w:hAnsi="游ゴシック"/>
          <w:i w:val="false"/>
          <w:iCs w:val="false"/>
          <w:sz w:val="17"/>
          <w:szCs w:val="17"/>
        </w:rPr>
        <w:t xml:space="preserve">出典：川崎町高齢者福祉計画・第9期介護保険事業計画（令和6年3月）42〜44頁</w:t>
      </w:r>
    </w:p>
    <w:p>
      <w:pPr>
        <w:spacing w:after="30" w:before="30" w:line="300"/>
        <w:ind w:left="431"/>
      </w:pPr>
      <w:r>
        <w:rPr>
          <w:rFonts w:ascii="游ゴシック" w:cs="游ゴシック" w:eastAsia="游ゴシック" w:hAnsi="游ゴシック"/>
          <w:i w:val="false"/>
          <w:iCs w:val="false"/>
          <w:sz w:val="21"/>
          <w:szCs w:val="21"/>
        </w:rPr>
        <w:t xml:space="preserve">・基本理念：誰もが健やかに暮らせるまちづくり</w:t>
      </w:r>
    </w:p>
    <w:p>
      <w:pPr>
        <w:spacing w:after="30" w:before="30" w:line="300"/>
        <w:ind w:left="431"/>
      </w:pPr>
      <w:r>
        <w:rPr>
          <w:rFonts w:ascii="游ゴシック" w:cs="游ゴシック" w:eastAsia="游ゴシック" w:hAnsi="游ゴシック"/>
          <w:i w:val="false"/>
          <w:iCs w:val="false"/>
          <w:sz w:val="21"/>
          <w:szCs w:val="21"/>
        </w:rPr>
        <w:t xml:space="preserve">・基本方針1：健康づくりの推進（第2部 第1章）</w:t>
      </w:r>
    </w:p>
    <w:p>
      <w:pPr>
        <w:spacing w:after="30" w:before="30" w:line="300"/>
        <w:ind w:left="431"/>
      </w:pPr>
      <w:r>
        <w:rPr>
          <w:rFonts w:ascii="游ゴシック" w:cs="游ゴシック" w:eastAsia="游ゴシック" w:hAnsi="游ゴシック"/>
          <w:i w:val="false"/>
          <w:iCs w:val="false"/>
          <w:sz w:val="21"/>
          <w:szCs w:val="21"/>
        </w:rPr>
        <w:t xml:space="preserve">・基本方針2：高齢者が安心して暮らせるまちづくりの推進（第2部 第2章）</w:t>
      </w:r>
    </w:p>
    <w:p>
      <w:pPr>
        <w:spacing w:after="30" w:before="30" w:line="300"/>
        <w:ind w:left="431"/>
      </w:pPr>
      <w:r>
        <w:rPr>
          <w:rFonts w:ascii="游ゴシック" w:cs="游ゴシック" w:eastAsia="游ゴシック" w:hAnsi="游ゴシック"/>
          <w:i w:val="false"/>
          <w:iCs w:val="false"/>
          <w:sz w:val="21"/>
          <w:szCs w:val="21"/>
        </w:rPr>
        <w:t xml:space="preserve">・基本方針3：地域生活を支援する取組の充実（第2部 第3章）</w:t>
      </w:r>
    </w:p>
    <w:p>
      <w:pPr>
        <w:spacing w:after="30" w:before="30" w:line="300"/>
        <w:ind w:left="431"/>
      </w:pPr>
      <w:r>
        <w:rPr>
          <w:rFonts w:ascii="游ゴシック" w:cs="游ゴシック" w:eastAsia="游ゴシック" w:hAnsi="游ゴシック"/>
          <w:i w:val="false"/>
          <w:iCs w:val="false"/>
          <w:sz w:val="21"/>
          <w:szCs w:val="21"/>
        </w:rPr>
        <w:t xml:space="preserve">・基本方針4：地域支援事業の充実（第2部 第4章）</w:t>
      </w:r>
    </w:p>
    <w:p>
      <w:pPr>
        <w:spacing w:after="30" w:before="30" w:line="300"/>
        <w:ind w:left="431"/>
      </w:pPr>
      <w:r>
        <w:rPr>
          <w:rFonts w:ascii="游ゴシック" w:cs="游ゴシック" w:eastAsia="游ゴシック" w:hAnsi="游ゴシック"/>
          <w:i w:val="false"/>
          <w:iCs w:val="false"/>
          <w:sz w:val="21"/>
          <w:szCs w:val="21"/>
        </w:rPr>
        <w:t xml:space="preserve">・基本方針5：介護給付・介護予防給付サービスの充実（第2部 第5章）</w:t>
      </w:r>
    </w:p>
    <w:p>
      <w:pPr>
        <w:spacing w:after="100" w:before="200" w:line="320"/>
      </w:pPr>
      <w:r>
        <w:rPr>
          <w:rFonts w:ascii="游ゴシック" w:cs="游ゴシック" w:eastAsia="游ゴシック" w:hAnsi="游ゴシック"/>
          <w:b w:val="1"/>
          <w:bCs w:val="1"/>
          <w:i w:val="false"/>
          <w:iCs w:val="false"/>
          <w:sz w:val="25"/>
          <w:szCs w:val="25"/>
        </w:rPr>
        <w:t>3-2　主要施策の取組実績</w:t>
      </w:r>
    </w:p>
    <w:p>
      <w:pPr>
        <w:spacing w:after="80" w:before="50" w:line="320"/>
        <w:ind w:firstLine="200"/>
        <w:jc w:val="left"/>
      </w:pPr>
      <w:r>
        <w:rPr>
          <w:rFonts w:ascii="游ゴシック" w:cs="游ゴシック" w:eastAsia="游ゴシック" w:hAnsi="游ゴシック"/>
          <w:i w:val="false"/>
          <w:iCs w:val="false"/>
          <w:sz w:val="21"/>
          <w:szCs w:val="21"/>
        </w:rPr>
        <w:t xml:space="preserve">本節では、第9期計画期間中（令和6〜8年度）に川崎町が実施した主要施策の取組実績を、第4章で示す第10期計画の6つの基本目標の体系に沿って整理します（第9期の基本方針との対応は4-2の表を参照）。給付・地域支援事業の数値実績は、介護保険事業状況報告（年報・令和7年度）により令和7年度の確定値を掲載しています。各事業の実施回数・対象者数等の確定値は、別添「川崎町第9期介護保険事業計画 実績一覧（町記入用フォーマット）」（全7シート・35事業以上を網羅）への町担当課ご記入を経て、Ver.2.0で本表に反映します。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第9期取組実績のうち給付・地域支援事業費は令和7年度の年報により確定。事業の実施回数等は別添『川崎町_第9期実績一覧_町記入用.xlsx』との連動で管理する。</w:t>
      </w:r>
    </w:p>
    <w:p>
      <w:pPr>
        <w:spacing w:after="80" w:before="180" w:line="300"/>
      </w:pPr>
      <w:r>
        <w:rPr>
          <w:rFonts w:ascii="游ゴシック" w:cs="游ゴシック" w:eastAsia="游ゴシック" w:hAnsi="游ゴシック"/>
          <w:b w:val="1"/>
          <w:bCs w:val="1"/>
          <w:i w:val="false"/>
          <w:iCs w:val="false"/>
          <w:sz w:val="22"/>
          <w:szCs w:val="22"/>
        </w:rPr>
        <w:t xml:space="preserve">　▌ 3-2-1　健康づくり・介護予防の推進（基本目標1関連）</w:t>
      </w:r>
    </w:p>
    <w:p>
      <w:pPr>
        <w:spacing w:after="80" w:before="50" w:line="320"/>
        <w:ind w:firstLine="200"/>
        <w:jc w:val="left"/>
      </w:pPr>
      <w:r>
        <w:rPr>
          <w:rFonts w:ascii="游ゴシック" w:cs="游ゴシック" w:eastAsia="游ゴシック" w:hAnsi="游ゴシック"/>
          <w:i w:val="false"/>
          <w:iCs w:val="false"/>
          <w:sz w:val="21"/>
          <w:szCs w:val="21"/>
        </w:rPr>
        <w:t xml:space="preserve">健康づくりと介護予防の推進については、町独自のユニバーサルサポーター制度を基盤に、住民主体の通いの場・介護予防活動を展開しました。ユニバーサルサポーターの14種別約400名による多彩な活動が、町内の介護予防活動の中核となっ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事業区分</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主な事業</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規模・既知実績</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R6/R7実績値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一般介護予防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元気まんてん教室・スマイル教室・パドル運動教室</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町・社協合同で定期開催。継続実施中</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通いの場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介護予防サロン（地区サロン）</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ユニバーサルサポーター制度に基づく住民主体運営</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サポーター</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ユニバーサルサポーター養成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介護予防サロン84名、スマイル40名、レク29名、傾聴24名、SC25名等14種別約400名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【町確認・最新値】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健診・早期発見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特定健診・後期高齢者健診・歯科健診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健康かわさき21・データヘルス計画と連動</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配食・栄養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配食サービス・栄養指導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オーラルフレイル・低栄養予防の観点で実施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bl>
    <w:p>
      <w:pPr>
        <w:spacing w:after="80" w:before="30" w:line="260"/>
        <w:jc w:val="right"/>
      </w:pPr>
      <w:r>
        <w:rPr>
          <w:rFonts w:ascii="游ゴシック" w:cs="游ゴシック" w:eastAsia="游ゴシック" w:hAnsi="游ゴシック"/>
          <w:i/>
          <w:iCs/>
          <w:sz w:val="17"/>
          <w:szCs w:val="17"/>
        </w:rPr>
        <w:t xml:space="preserve">出典：詳細：別添『川崎町_第9期実績一覧_町記入用.xlsx』02_介護予防_健康</w:t>
      </w:r>
    </w:p>
    <w:p>
      <w:pPr>
        <w:spacing w:after="80" w:before="50" w:line="320"/>
        <w:ind w:firstLine="200"/>
        <w:jc w:val="left"/>
      </w:pPr>
      <w:r>
        <w:rPr>
          <w:rFonts w:ascii="游ゴシック" w:cs="游ゴシック" w:eastAsia="游ゴシック" w:hAnsi="游ゴシック"/>
          <w:i w:val="false"/>
          <w:iCs w:val="false"/>
          <w:sz w:val="21"/>
          <w:szCs w:val="21"/>
        </w:rPr>
        <w:t xml:space="preserve">第10期への課題：ユニバーサルサポーター制度の質的向上、後期高齢者（令和7年度末1,742人・4年で15.4％増）の急増に対応した介護予防の対象拡大、中山間地域居住者の通いの場参加への移動支援との連動が課題です。</w:t>
      </w:r>
    </w:p>
    <w:p>
      <w:pPr>
        <w:spacing w:after="80" w:before="180" w:line="300"/>
      </w:pPr>
      <w:r>
        <w:rPr>
          <w:rFonts w:ascii="游ゴシック" w:cs="游ゴシック" w:eastAsia="游ゴシック" w:hAnsi="游ゴシック"/>
          <w:b w:val="1"/>
          <w:bCs w:val="1"/>
          <w:i w:val="false"/>
          <w:iCs w:val="false"/>
          <w:sz w:val="22"/>
          <w:szCs w:val="22"/>
        </w:rPr>
        <w:t xml:space="preserve">　▌ 3-2-2　高齢者が安心して暮らせる仕組みづくり（基本目標2関連）</w:t>
      </w:r>
    </w:p>
    <w:p>
      <w:pPr>
        <w:spacing w:after="80" w:before="50" w:line="320"/>
        <w:ind w:firstLine="200"/>
        <w:jc w:val="left"/>
      </w:pPr>
      <w:r>
        <w:rPr>
          <w:rFonts w:ascii="游ゴシック" w:cs="游ゴシック" w:eastAsia="游ゴシック" w:hAnsi="游ゴシック"/>
          <w:i w:val="false"/>
          <w:iCs w:val="false"/>
          <w:sz w:val="21"/>
          <w:szCs w:val="21"/>
        </w:rPr>
        <w:t xml:space="preserve">見守り・移動支援・住まいの確保等、独居高齢者・高齢者世帯・老老介護世帯が安心して暮らせる仕組みを整備しました。特に移動支援は、令和7年3月の高齢者外出タクシー助成終了に伴い、社協・NPO移送＋デマンドバス＋町民バスの3層構造に移行する大きな転換点を迎え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事業区分</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主な事業</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規模・既知実績</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R6/R7実績値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見守り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ふれあいネットワーク事業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活動員15名＋協力員130名（計145名）による地域見守り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緊急支援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緊急通報装置設置事業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独居高齢者・高齢者夫婦世帯への設置</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移動支援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(旧)高齢者外出タクシー助成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令和7年3月で終了。第9期途中での制度変更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R7.3 終了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移動支援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福祉移送サービス（社協・NPO）</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タクシー助成終了に伴い役割が拡大</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移動支援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デマンドバス・町民バス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地域振興課・町民生活課所管。3層構造に位置付け</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独自支援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高齢者紙おむつ等支給事業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町独自施策として継続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独自支援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高齢者世帯エアコン購入支援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令和7年10月開始の新規事業</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R7.10 開始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独自支援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人工透析患者通院交通費助成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町独自施策として継続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bl>
    <w:p>
      <w:pPr>
        <w:spacing w:after="80" w:before="30" w:line="260"/>
        <w:jc w:val="right"/>
      </w:pPr>
      <w:r>
        <w:rPr>
          <w:rFonts w:ascii="游ゴシック" w:cs="游ゴシック" w:eastAsia="游ゴシック" w:hAnsi="游ゴシック"/>
          <w:i/>
          <w:iCs/>
          <w:sz w:val="17"/>
          <w:szCs w:val="17"/>
        </w:rPr>
        <w:t xml:space="preserve">出典：詳細：別添『川崎町_第9期実績一覧_町記入用.xlsx』03_在宅生活支援</w:t>
      </w:r>
    </w:p>
    <w:p>
      <w:pPr>
        <w:spacing w:after="80" w:before="50" w:line="320"/>
        <w:ind w:firstLine="200"/>
        <w:jc w:val="left"/>
      </w:pPr>
      <w:r>
        <w:rPr>
          <w:rFonts w:ascii="游ゴシック" w:cs="游ゴシック" w:eastAsia="游ゴシック" w:hAnsi="游ゴシック"/>
          <w:i w:val="false"/>
          <w:iCs w:val="false"/>
          <w:sz w:val="21"/>
          <w:szCs w:val="21"/>
        </w:rPr>
        <w:t xml:space="preserve">第10期への課題：タクシー助成終了後の3層移動支援制度（社協・NPO移送／デマンドバス／町民バス）の住民への周知強化、所管が分かれている（地域振興課・町民生活課・社協・NPO）状況での利用情報の一元化、福祉施設の役場周辺偏在への対応が重要課題です。</w:t>
      </w:r>
    </w:p>
    <w:p>
      <w:pPr>
        <w:spacing w:after="80" w:before="180" w:line="300"/>
      </w:pPr>
      <w:r>
        <w:rPr>
          <w:rFonts w:ascii="游ゴシック" w:cs="游ゴシック" w:eastAsia="游ゴシック" w:hAnsi="游ゴシック"/>
          <w:b w:val="1"/>
          <w:bCs w:val="1"/>
          <w:i w:val="false"/>
          <w:iCs w:val="false"/>
          <w:sz w:val="22"/>
          <w:szCs w:val="22"/>
        </w:rPr>
        <w:t xml:space="preserve">　▌ 3-2-3　在宅生活継続の支援（基本目標3関連）</w:t>
      </w:r>
    </w:p>
    <w:p>
      <w:pPr>
        <w:spacing w:after="80" w:before="50" w:line="320"/>
        <w:ind w:firstLine="200"/>
        <w:jc w:val="left"/>
      </w:pPr>
      <w:r>
        <w:rPr>
          <w:rFonts w:ascii="游ゴシック" w:cs="游ゴシック" w:eastAsia="游ゴシック" w:hAnsi="游ゴシック"/>
          <w:i w:val="false"/>
          <w:iCs w:val="false"/>
          <w:sz w:val="21"/>
          <w:szCs w:val="21"/>
        </w:rPr>
        <w:t xml:space="preserve">住み慣れた自宅・地域で生活を継続したいという高齢者と家族の希望に応えるため、在宅医療・介護連携、家族介護者支援、広域医療連携を推進しました。</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事業区分</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主な事業</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規模・既知実績</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R6/R7実績値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医療連携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在宅医療・介護連携推進事業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国保川崎病院を中心とした連携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広域医療</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広域医療連携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みやぎ県南中核病院（大河原）・刈田綜合病院（白石）等との連携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家族介護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家族介護教室・介護相談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家族介護者の負担軽減・知識習得支援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家族介護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レスパイト支援（短期入所活用）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介護者の休息確保のためのショートステイ利用支援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住宅・用具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住宅改修・福祉用具利用支援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介護保険給付による住宅改修・福祉用具貸与</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令和7年度給付費 25,761千円</w:t>
            </w:r>
          </w:p>
        </w:tc>
      </w:tr>
    </w:tbl>
    <w:p>
      <w:pPr>
        <w:spacing w:after="80" w:before="50" w:line="320"/>
        <w:ind w:firstLine="200"/>
        <w:jc w:val="left"/>
      </w:pPr>
      <w:r>
        <w:rPr>
          <w:rFonts w:ascii="游ゴシック" w:cs="游ゴシック" w:eastAsia="游ゴシック" w:hAnsi="游ゴシック"/>
          <w:i w:val="false"/>
          <w:iCs w:val="false"/>
          <w:sz w:val="21"/>
          <w:szCs w:val="21"/>
        </w:rPr>
        <w:t xml:space="preserve">第10期への課題：施設サービス利用者134.3人（令和7年度の月平均）のうち85.9％が要介護3以上の重度層に集中しており、軽度〜中度層の在宅生活継続を支える体制強化が必要です。また、未婚の子と高齢親が同居する8050問題、配偶者間の老老介護世帯の増加に対応した家族介護者支援と介護離職防止が重要課題です。</w:t>
      </w:r>
    </w:p>
    <w:p>
      <w:pPr>
        <w:spacing w:after="80" w:before="180" w:line="300"/>
      </w:pPr>
      <w:r>
        <w:rPr>
          <w:rFonts w:ascii="游ゴシック" w:cs="游ゴシック" w:eastAsia="游ゴシック" w:hAnsi="游ゴシック"/>
          <w:b w:val="1"/>
          <w:bCs w:val="1"/>
          <w:i w:val="false"/>
          <w:iCs w:val="false"/>
          <w:sz w:val="22"/>
          <w:szCs w:val="22"/>
        </w:rPr>
        <w:t xml:space="preserve">　▌ 3-2-4　介護サービスの質の確保と提供体制（基本目標4関連）</w:t>
      </w:r>
    </w:p>
    <w:p>
      <w:pPr>
        <w:spacing w:after="80" w:before="50" w:line="320"/>
        <w:ind w:firstLine="200"/>
        <w:jc w:val="left"/>
      </w:pPr>
      <w:r>
        <w:rPr>
          <w:rFonts w:ascii="游ゴシック" w:cs="游ゴシック" w:eastAsia="游ゴシック" w:hAnsi="游ゴシック"/>
          <w:i w:val="false"/>
          <w:iCs w:val="false"/>
          <w:sz w:val="21"/>
          <w:szCs w:val="21"/>
        </w:rPr>
        <w:t xml:space="preserve">町内介護サービスの質の確保、町外施設利用を含めた供給体制の整備、深刻化する介護人材不足への対応を進めました。特に住所地特例24人（令和8年3月末）に代表される町外施設依存と、福祉施設の役場周辺への偏在は、第9期から第10期に持ち越される重要な構造的課題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事業区分</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主な事業</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規模・既知実績</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R6/R7実績値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サービス供給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町内介護事業所</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訪問系・通所系・施設系・地域密着型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施設サービス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特養（67.8人）・老健（66.6人）受給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令和7年度の月平均。介護療養型・介護医療院は0人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月平均134.3人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住所地特例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町外施設利用者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24人（令和8年3月末）。町内施設縮小に伴い町外依存</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R8.3＝24人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質の確保</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ケアプラン点検・事業所指導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町・包括による継続的な質確保</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人材確保</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介護人材確保・育成支援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宮城県社協の修学資金貸付制度等の活用周知</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bl>
    <w:p>
      <w:pPr>
        <w:spacing w:after="80" w:before="50" w:line="320"/>
        <w:ind w:firstLine="200"/>
        <w:jc w:val="left"/>
      </w:pPr>
      <w:r>
        <w:rPr>
          <w:rFonts w:ascii="游ゴシック" w:cs="游ゴシック" w:eastAsia="游ゴシック" w:hAnsi="游ゴシック"/>
          <w:i w:val="false"/>
          <w:iCs w:val="false"/>
          <w:sz w:val="21"/>
          <w:szCs w:val="21"/>
        </w:rPr>
        <w:t xml:space="preserve">第10期への課題：施設の地域偏在（役場周辺集中）への対応、住所地特例該当者の所在自治体内訳の把握と広域連携、介護人材不足への対応（ICT・介護ロボット導入促進を含む）、町外施設も含めたサービス供給見込量の整備が重要です。</w:t>
      </w:r>
    </w:p>
    <w:p>
      <w:pPr>
        <w:spacing w:after="80" w:before="180" w:line="300"/>
      </w:pPr>
      <w:r>
        <w:rPr>
          <w:rFonts w:ascii="游ゴシック" w:cs="游ゴシック" w:eastAsia="游ゴシック" w:hAnsi="游ゴシック"/>
          <w:b w:val="1"/>
          <w:bCs w:val="1"/>
          <w:i w:val="false"/>
          <w:iCs w:val="false"/>
          <w:sz w:val="22"/>
          <w:szCs w:val="22"/>
        </w:rPr>
        <w:t xml:space="preserve">　▌ 3-2-5　地域包括ケアシステムの深化（基本目標5関連）</w:t>
      </w:r>
    </w:p>
    <w:p>
      <w:pPr>
        <w:spacing w:after="80" w:before="50" w:line="320"/>
        <w:ind w:firstLine="200"/>
        <w:jc w:val="left"/>
      </w:pPr>
      <w:r>
        <w:rPr>
          <w:rFonts w:ascii="游ゴシック" w:cs="游ゴシック" w:eastAsia="游ゴシック" w:hAnsi="游ゴシック"/>
          <w:i w:val="false"/>
          <w:iCs w:val="false"/>
          <w:sz w:val="21"/>
          <w:szCs w:val="21"/>
        </w:rPr>
        <w:t xml:space="preserve">地域包括支援センターを中心に、医療・介護・予防・住まい・生活支援を一体的に提供する地域包括ケアシステムを深化させました。社会福祉法人川崎町社会福祉協議会が運営する地域包括支援センター（コード0472200062）は、保健師3名＋認定調査員1名の体制で運用されており、人材体制の強化が第10期の重要課題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事業区分</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主な事業</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規模・既知実績</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R6/R7実績値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包括センター</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地域包括支援センター運営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保健師3＋認定調査1＝計4名（社協運営・実質3名運用）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R7=4名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包括センター</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総合相談支援業務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認定調査1名で対応、業務負担大・ケアプラン外部委託あり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生活支援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生活支援体制整備事業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生活支援コーディネーター（SC）25名による地域づくり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R7=SC25名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ケア会議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自立支援型地域ケア会議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ケアプラン点検・自立支援に資する会議の継続実施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権利擁護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成年後見・高齢者虐待対応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成年後見制度の利用促進、虐待防止</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地域支援事業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地域支援事業費（合計）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令和7年度実績：36,609千円（総合事業7,898＋包括的支援・任意事業28,327＋社会保障充実分385千円）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R7＝3,661万円</w:t>
            </w:r>
          </w:p>
        </w:tc>
      </w:tr>
    </w:tbl>
    <w:p>
      <w:pPr>
        <w:spacing w:after="80" w:before="50" w:line="320"/>
        <w:ind w:firstLine="200"/>
        <w:jc w:val="left"/>
      </w:pPr>
      <w:r>
        <w:rPr>
          <w:rFonts w:ascii="游ゴシック" w:cs="游ゴシック" w:eastAsia="游ゴシック" w:hAnsi="游ゴシック"/>
          <w:i w:val="false"/>
          <w:iCs w:val="false"/>
          <w:sz w:val="21"/>
          <w:szCs w:val="21"/>
        </w:rPr>
        <w:t xml:space="preserve">第10期への課題：地域包括支援センターの体制強化（特に認定調査員の負担軽減）、3計画同時策定（地域福祉計画・障害者計画はジャパン総研が策定）の機会を活かした重層的支援体制の整備、生活支援コーディネーターとユニバーサルサポーター制度との連動深化が重要です。</w:t>
      </w:r>
    </w:p>
    <w:p>
      <w:pPr>
        <w:spacing w:after="80" w:before="180" w:line="300"/>
      </w:pPr>
      <w:r>
        <w:rPr>
          <w:rFonts w:ascii="游ゴシック" w:cs="游ゴシック" w:eastAsia="游ゴシック" w:hAnsi="游ゴシック"/>
          <w:b w:val="1"/>
          <w:bCs w:val="1"/>
          <w:i w:val="false"/>
          <w:iCs w:val="false"/>
          <w:sz w:val="22"/>
          <w:szCs w:val="22"/>
        </w:rPr>
        <w:t xml:space="preserve">　▌ 3-2-6　認知症施策（第10期で基本目標6として独立章化）</w:t>
      </w:r>
    </w:p>
    <w:p>
      <w:pPr>
        <w:spacing w:after="80" w:before="50" w:line="320"/>
        <w:ind w:firstLine="200"/>
        <w:jc w:val="left"/>
      </w:pPr>
      <w:r>
        <w:rPr>
          <w:rFonts w:ascii="游ゴシック" w:cs="游ゴシック" w:eastAsia="游ゴシック" w:hAnsi="游ゴシック"/>
          <w:i w:val="false"/>
          <w:iCs w:val="false"/>
          <w:sz w:val="21"/>
          <w:szCs w:val="21"/>
        </w:rPr>
        <w:t xml:space="preserve">第9期計画では、認知症施策は基本目標5（地域包括ケアシステムの深化）の一部として位置付けられていましたが、令和6年1月施行の認知症基本法を踏まえ、第10期では基本目標6として独立章化（第6章）します。第9期での主な取組は以下のとおり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事業区分</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主な事業</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規模・既知実績</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R6/R7実績値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普及啓発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認知症サポーター養成講座</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累計642名養成（令和7年度見込）。年間受講者は4〜23人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R6=620名／R7=642名累計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普及啓発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認知症キャラバンメイト養成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累計80名養成（令和7年度見込）。サポーター養成講座の講師役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R6=79名／R7=80名累計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社会参加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認知症カフェ「喫茶みかん」</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認知症の人と家族の交流・相談の場。令和5年度から年47回</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R6=47回・延235人／R7見込=同</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早期発見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もの忘れ相談・初期集中支援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もの忘れ相談 年12回。初期集中支援チームの訪問件数は減少傾向</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相談 R6=16件／R7見込=12件</w:t>
              <w:br/>
              <w:t xml:space="preserve">訪問 R6=42件／R7見込=12件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医療連携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国保川崎病院との連携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認知症診断・治療・初期段階フォロー</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整備済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チームオレンジ</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令和6年度に整備。第10期は活動の充実とチーム数の拡大［要確認］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R6=整備／R7見込=整備</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新規(未実施)</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認知症本人ミーティング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基本法第3条「本人の意思を尊重」対応の新設候補</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R7＝未実施</w:t>
            </w:r>
          </w:p>
        </w:tc>
      </w:tr>
    </w:tbl>
    <w:p>
      <w:pPr>
        <w:spacing w:after="80" w:before="30" w:line="260"/>
        <w:jc w:val="right"/>
      </w:pPr>
      <w:r>
        <w:rPr>
          <w:rFonts w:ascii="游ゴシック" w:cs="游ゴシック" w:eastAsia="游ゴシック" w:hAnsi="游ゴシック"/>
          <w:i/>
          <w:iCs/>
          <w:sz w:val="17"/>
          <w:szCs w:val="17"/>
        </w:rPr>
        <w:t xml:space="preserve">出典：詳細：別添『川崎町_第9期実績一覧_町記入用.xlsx』04_認知症_包括</w:t>
      </w:r>
    </w:p>
    <w:p>
      <w:pPr>
        <w:spacing w:after="80" w:before="50" w:line="320"/>
        <w:ind w:firstLine="200"/>
        <w:jc w:val="left"/>
      </w:pPr>
      <w:r>
        <w:rPr>
          <w:rFonts w:ascii="游ゴシック" w:cs="游ゴシック" w:eastAsia="游ゴシック" w:hAnsi="游ゴシック"/>
          <w:i w:val="false"/>
          <w:iCs w:val="false"/>
          <w:sz w:val="21"/>
          <w:szCs w:val="21"/>
        </w:rPr>
        <w:t xml:space="preserve">第10期への課題：認知症基本法対応として、（1）チームオレンジの活動の充実とチーム数の拡大（令和8年9月1日提供の実績データでは令和6年度から「整備」とされており、整備済みを前提に活動の段階へ進みます［要確認］）、（2）認知症本人ミーティングの新規実施、（3）本人・家族の意見聴取（認知症基本法第13条第3項の手続。地域包括支援センター・国保川崎病院経由）、（4）認知症地域支援推進員の配置（令和5年度以降0人となっており、配置状況を確認中［要確認］）、（5）KPIの3層構造化（成果指標・活動指標・体制指標）が必須となります。第6章で独立章として詳述します。</w:t>
      </w:r>
    </w:p>
    <w:p>
      <w:pPr>
        <w:spacing w:after="80" w:before="180" w:line="300"/>
      </w:pPr>
      <w:r>
        <w:rPr>
          <w:rFonts w:ascii="游ゴシック" w:cs="游ゴシック" w:eastAsia="游ゴシック" w:hAnsi="游ゴシック"/>
          <w:b w:val="1"/>
          <w:bCs w:val="1"/>
          <w:i w:val="false"/>
          <w:iCs w:val="false"/>
          <w:sz w:val="22"/>
          <w:szCs w:val="22"/>
        </w:rPr>
        <w:t xml:space="preserve">　▌ 3-2-7　実績データ連動の枠組み</w:t>
      </w:r>
    </w:p>
    <w:p>
      <w:pPr>
        <w:spacing w:after="80" w:before="50" w:line="320"/>
        <w:ind w:firstLine="200"/>
        <w:jc w:val="left"/>
      </w:pPr>
      <w:r>
        <w:rPr>
          <w:rFonts w:ascii="游ゴシック" w:cs="游ゴシック" w:eastAsia="游ゴシック" w:hAnsi="游ゴシック"/>
          <w:i w:val="false"/>
          <w:iCs w:val="false"/>
          <w:sz w:val="21"/>
          <w:szCs w:val="21"/>
        </w:rPr>
        <w:t xml:space="preserve">本節の各事業の数値実績は、別添「川崎町第9期実績一覧（町記入用フォーマット）」（7シート構成）と連動して管理します。町担当課で記入いただいた数値が、本素案Ver.2.0で本表に反映されます。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本節の項目</w:t>
            </w:r>
          </w:p>
        </w:tc>
        <w:tc>
          <w:tcPr>
            <w:tcW w:type="pct" w:w="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対応する実績一覧シート</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反映時期</w:t>
            </w:r>
          </w:p>
        </w:tc>
        <w:tc>
          <w:tcPr>
            <w:tcW w:type="pct"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優先度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3-2-1 健康づくり・介護予防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02_介護予防_健康</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Ver.2.0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A（優先・基本目標1根拠）</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3-2-2 仕組みづくり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03_在宅生活支援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Ver.2.0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A（移動支援3層構造）</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3-2-3 在宅生活継続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03_在宅生活支援＋04_包括</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Ver.2.0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A（家族介護者支援）</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3-2-4 質の確保・人材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05_介護サービス_人材</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Ver.2.0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B（事業者連絡会照会含む）</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3-2-5 包括ケア深化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04_認知症_包括</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Ver.2.0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A（体制強化根拠）</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3-2-6 認知症施策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04_認知症_包括＋06_第10期反映</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Ver.2.0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A（基本法対応・最重要）</w:t>
            </w:r>
          </w:p>
        </w:tc>
      </w:tr>
    </w:tbl>
    <w:p>
      <w:pPr>
        <w:spacing w:after="80" w:before="80" w:line="280"/>
        <w:ind w:left="288"/>
      </w:pPr>
      <w:r>
        <w:rPr>
          <w:rFonts w:ascii="游ゴシック" w:cs="游ゴシック" w:eastAsia="游ゴシック" w:hAnsi="游ゴシック"/>
          <w:i/>
          <w:iCs/>
          <w:sz w:val="19"/>
          <w:szCs w:val="19"/>
        </w:rPr>
        <w:t xml:space="preserve">⚠ 各事業の数値実績の確定値は、別添『川崎町_第9期実績一覧_町記入用.xlsx』（35事業以上を網羅）への町担当課ご記入の完了を経て、本素案Ver.2.0で本表に反映します。記入後は東京コンサルティング若山までご返送ください。</w:t>
      </w:r>
    </w:p>
    <w:p>
      <w:pPr>
        <w:spacing w:after="100" w:before="200" w:line="320"/>
      </w:pPr>
      <w:r>
        <w:rPr>
          <w:rFonts w:ascii="游ゴシック" w:cs="游ゴシック" w:eastAsia="游ゴシック" w:hAnsi="游ゴシック"/>
          <w:b w:val="1"/>
          <w:bCs w:val="1"/>
          <w:i w:val="false"/>
          <w:iCs w:val="false"/>
          <w:sz w:val="25"/>
          <w:szCs w:val="25"/>
        </w:rPr>
        <w:t>3-3　評価指標の達成状況</w:t>
      </w:r>
    </w:p>
    <w:p>
      <w:pPr>
        <w:spacing w:after="80" w:before="80" w:line="280"/>
        <w:ind w:left="288"/>
      </w:pPr>
      <w:r>
        <w:rPr>
          <w:rFonts w:ascii="游ゴシック" w:cs="游ゴシック" w:eastAsia="游ゴシック" w:hAnsi="游ゴシック"/>
          <w:i/>
          <w:iCs/>
          <w:sz w:val="19"/>
          <w:szCs w:val="19"/>
        </w:rPr>
        <w:t xml:space="preserve">⚠ 第9期計画で設定された評価指標（KPI）の達成状況は、町担当課での集計を経て第1回策定委員会（令和8年9月2日）で報告し、本素案Ver.2.0に反映します。</w:t>
      </w:r>
    </w:p>
    <w:p>
      <w:pPr>
        <w:spacing w:after="80" w:before="50" w:line="320"/>
        <w:ind w:firstLine="200"/>
        <w:jc w:val="left"/>
      </w:pPr>
      <w:r>
        <w:rPr>
          <w:rFonts w:ascii="游ゴシック" w:cs="游ゴシック" w:eastAsia="游ゴシック" w:hAnsi="游ゴシック"/>
          <w:i w:val="false"/>
          <w:iCs w:val="false"/>
          <w:sz w:val="21"/>
          <w:szCs w:val="21"/>
        </w:rPr>
        <w:t xml:space="preserve">参考として、保険者機能強化推進交付金及び介護保険保険者努力支援交付金の評価結果は、令和6年度454点（全国696位）、令和7年度565点（全国114位）、令和8年度528点（全国366位）であり、いずれの年度も全国平均（それぞれ422.4点・435.0点・455.1点）を上回っています。800点満点の評価で、対象は各年度とも全国1,741保険者です。令和7年度が最も高く、令和8年度は37点下がりました。</w:t>
      </w:r>
    </w:p>
    <w:p>
      <w:pPr>
        <w:spacing w:after="80" w:before="50" w:line="320"/>
        <w:ind w:firstLine="200"/>
        <w:jc w:val="left"/>
      </w:pPr>
      <w:r>
        <w:rPr>
          <w:rFonts w:ascii="游ゴシック" w:cs="游ゴシック" w:eastAsia="游ゴシック" w:hAnsi="游ゴシック"/>
          <w:i w:val="false"/>
          <w:iCs w:val="false"/>
          <w:sz w:val="21"/>
          <w:szCs w:val="21"/>
        </w:rPr>
        <w:t xml:space="preserve">令和8年度の目標別の内訳は、保険者機能強化推進交付金が目標Ⅰ57点・目標Ⅱ82点・目標Ⅲ73点・目標Ⅳ（アウトカム）40点の計252点、介護保険保険者努力支援交付金が目標Ⅰ87点・目標Ⅱ77点・目標Ⅲ72点・目標Ⅳ（アウトカム）40点の計276点です。介護予防・日常生活支援は87点で全国5位、認知症総合支援は77点で全国79位、努力支援交付金の合計は276点で全国165位である一方、推進交付金の合計は252点で全国637位、とりわけ目標Ⅰ（持続可能な地域のあるべき姿をかたちにする）は57点で全国1,136位、アウトカム指標は推進・支援それぞれ40点（全国平均47.8点）で全国1,087位でした。</w:t>
      </w:r>
    </w:p>
    <w:p>
      <w:pPr>
        <w:spacing w:after="80" w:before="50" w:line="320"/>
        <w:ind w:firstLine="200"/>
        <w:jc w:val="left"/>
      </w:pPr>
      <w:r>
        <w:rPr>
          <w:rFonts w:ascii="游ゴシック" w:cs="游ゴシック" w:eastAsia="游ゴシック" w:hAnsi="游ゴシック"/>
          <w:i w:val="false"/>
          <w:iCs w:val="false"/>
          <w:sz w:val="21"/>
          <w:szCs w:val="21"/>
        </w:rPr>
        <w:t xml:space="preserve">令和7年度から令和8年度への37点の減少は、目標Ⅰの「評価結果の活用」が満点16点から0点となったこと、及びアウトカム指標が15点下がったことによります。取組の体制は全国上位である一方、その結果を計画に反映し公表する仕組みと、要介護度の変化という成果に結びつける仕組みが弱いことを示しており、第10期ではこの2点を計画の推進体制に組み込みます。</w:t>
      </w:r>
    </w:p>
    <w:p>
      <w:pPr>
        <w:spacing w:after="80" w:before="180" w:line="300"/>
      </w:pPr>
      <w:r>
        <w:rPr>
          <w:rFonts w:ascii="游ゴシック" w:cs="游ゴシック" w:eastAsia="游ゴシック" w:hAnsi="游ゴシック"/>
          <w:b w:val="1"/>
          <w:bCs w:val="1"/>
          <w:i w:val="false"/>
          <w:iCs w:val="false"/>
          <w:sz w:val="22"/>
          <w:szCs w:val="22"/>
        </w:rPr>
        <w:t xml:space="preserve">　▌ 県内の状況との対比</w:t>
      </w:r>
    </w:p>
    <w:p>
      <w:pPr>
        <w:spacing w:after="80" w:before="50" w:line="320"/>
        <w:ind w:firstLine="200"/>
        <w:jc w:val="left"/>
      </w:pPr>
      <w:r>
        <w:rPr>
          <w:rFonts w:ascii="游ゴシック" w:cs="游ゴシック" w:eastAsia="游ゴシック" w:hAnsi="游ゴシック"/>
          <w:i w:val="false"/>
          <w:iCs w:val="false"/>
          <w:sz w:val="21"/>
          <w:szCs w:val="21"/>
        </w:rPr>
        <w:t xml:space="preserve">同じ期間に、宮城県内35保険者の市町村平均が令和7年度418.9点から令和8年度497.5点へ、1年で78.6点上がっています（全国平均の上昇は20.1点）。本町の県内順位が3位から8位へ下がったのは、本町が37点下げたことに加え、県内が急に上がったことによるものです。県平均との差は146.1ポイントから30.5ポイントへ縮まりました。</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36"/>
        <w:gridCol w:w="88"/>
        <w:gridCol w:w="88"/>
        <w:gridCol w:w="88"/>
      </w:tblGrid>
      <w:tr>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
            </w:r>
          </w:p>
        </w:tc>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令和6年度</w:t>
            </w:r>
          </w:p>
        </w:tc>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令和7年度</w:t>
            </w:r>
          </w:p>
        </w:tc>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令和8年度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川崎町　得点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454点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565点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528点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全国順位（1,741保険者）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696位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114位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366位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県内順位（35保険者）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8位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8位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全国平均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422.4点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435.0点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455.1点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宮城県内の市町村平均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379.7点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418.9点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497.5点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県平均との差</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＋74.3点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＋146.1点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＋30.5点</w:t>
            </w:r>
          </w:p>
        </w:tc>
      </w:tr>
    </w:tbl>
    <w:p>
      <w:pPr>
        <w:spacing w:after="80" w:before="50" w:line="320"/>
        <w:ind w:firstLine="200"/>
        <w:jc w:val="left"/>
      </w:pPr>
      <w:r>
        <w:rPr>
          <w:rFonts w:ascii="游ゴシック" w:cs="游ゴシック" w:eastAsia="游ゴシック" w:hAnsi="游ゴシック"/>
          <w:i w:val="false"/>
          <w:iCs w:val="false"/>
          <w:sz w:val="21"/>
          <w:szCs w:val="21"/>
        </w:rPr>
        <w:t xml:space="preserve">⚠ 宮城県自身の評価（都道府県分）も、令和7年度529点・全国22位から令和8年度587点・全国6位へ上昇しています。宮城県は目標Ⅰ（ⅱ）5「伴走支援の実施回数」で8点満点（全国上位1割）を得ており、管内市町村への伴走支援の体制と実績を持っています。本町の得点向上は県の得点にもなるため、第10章の進行管理に県との協議を位置付けます。なお、目標Ⅰ（ⅰ）2のオ「管内に著しく得点の低い市町村がない」の閾値は279.7点（得点率の平均から標準偏差の2倍を差し引いた数）で、全国1,741保険者のうち55保険者が下回りますが、本町528点は該当しません。</w:t>
      </w:r>
    </w:p>
    <w:p>
      <w:pPr>
        <w:spacing w:after="80" w:before="180" w:line="300"/>
      </w:pPr>
      <w:r>
        <w:rPr>
          <w:rFonts w:ascii="游ゴシック" w:cs="游ゴシック" w:eastAsia="游ゴシック" w:hAnsi="游ゴシック"/>
          <w:b w:val="1"/>
          <w:bCs w:val="1"/>
          <w:i w:val="false"/>
          <w:iCs w:val="false"/>
          <w:sz w:val="22"/>
          <w:szCs w:val="22"/>
        </w:rPr>
        <w:t xml:space="preserve">　▌ 失点の内訳</w:t>
      </w:r>
    </w:p>
    <w:p>
      <w:pPr>
        <w:spacing w:after="80" w:before="50" w:line="320"/>
        <w:ind w:firstLine="200"/>
        <w:jc w:val="left"/>
      </w:pPr>
      <w:r>
        <w:rPr>
          <w:rFonts w:ascii="游ゴシック" w:cs="游ゴシック" w:eastAsia="游ゴシック" w:hAnsi="游ゴシック"/>
          <w:i w:val="false"/>
          <w:iCs w:val="false"/>
          <w:sz w:val="21"/>
          <w:szCs w:val="21"/>
        </w:rPr>
        <w:t xml:space="preserve">令和8年度に0点であった指標は9つ、配点の合計は136点です。このうち「生活支援コーディネーターの地域ケア会議への参加割合」は、生活支援コーディネーター25名の配置数が4点満点で県内1位である一方、会議への参加が0点となっているもので、運用で手当てできます。「介護の仕事の魅力に関する研修」「介護人材の定着・資質向上に関する研修」は合わせて24点で、第7章の介護人材の確保と直結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208"/>
        <w:gridCol w:w="48"/>
        <w:gridCol w:w="8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交付金・目標</w:t>
            </w:r>
          </w:p>
        </w:tc>
        <w:tc>
          <w:tcPr>
            <w:tcW w:type="dxa" w:w="20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0点となった指標</w:t>
            </w:r>
          </w:p>
        </w:tc>
        <w:tc>
          <w:tcPr>
            <w:tcW w:type="dxa" w:w="4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配点</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県内順位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推進Ⅳ／支援Ⅳ</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短期的な要介護度の変化（要介護１・２）</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31位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推進Ⅰ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評価結果の活用（令和7年度は満点16点）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34位／35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支援Ⅲ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人生の最終段階における支援の実施状況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31位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推進Ⅰ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後期高齢者と給付費の伸び率比較（令和7年度は3点）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14位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推進Ⅰ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PFS（成果連動型民間委託契約）委託事業数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推進Ⅲ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介護の仕事の魅力に関する研修の実施状況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14位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推進Ⅲ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介護人材の定着・資質向上に関する研修の実施状況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13位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支援Ⅱ</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認知症サポーター数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22位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支援Ⅰ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生活支援コーディネーターの地域ケア会議への参加割合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25位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136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w:t>
            </w:r>
          </w:p>
        </w:tc>
      </w:tr>
    </w:tbl>
    <w:p>
      <w:pPr>
        <w:spacing w:after="80" w:before="50" w:line="320"/>
        <w:ind w:firstLine="200"/>
        <w:jc w:val="left"/>
      </w:pPr>
      <w:r>
        <w:rPr>
          <w:rFonts w:ascii="游ゴシック" w:cs="游ゴシック" w:eastAsia="游ゴシック" w:hAnsi="游ゴシック"/>
          <w:i w:val="false"/>
          <w:iCs w:val="false"/>
          <w:sz w:val="21"/>
          <w:szCs w:val="21"/>
        </w:rPr>
        <w:t xml:space="preserve">⚠ 一方、県内1位の指標は23項目（うち20項目が満点）あります。介護予防・生活支援の体制整備、在宅医療・介護連携の課題検討と具体的取組、介護人材の確保・定着の取組と庁内外の連携体制、給付費適正化方策の策定、認知症の早期診断・早期対応の体制構築、難聴高齢者の早期発見・早期介入などです。体制は県内でほぼ最上位であり、弱いのは活動量と成果、及び保険者としての自己評価の仕組みです。</w:t>
      </w:r>
    </w:p>
    <w:p>
      <w:pPr>
        <w:spacing w:after="80" w:before="180" w:line="300"/>
      </w:pPr>
      <w:r>
        <w:rPr>
          <w:rFonts w:ascii="游ゴシック" w:cs="游ゴシック" w:eastAsia="游ゴシック" w:hAnsi="游ゴシック"/>
          <w:b w:val="1"/>
          <w:bCs w:val="1"/>
          <w:i w:val="false"/>
          <w:iCs w:val="false"/>
          <w:sz w:val="22"/>
          <w:szCs w:val="22"/>
        </w:rPr>
        <w:t xml:space="preserve">　▌ アウトカム指標の内訳</w:t>
      </w:r>
    </w:p>
    <w:p>
      <w:pPr>
        <w:spacing w:after="80" w:before="50" w:line="320"/>
        <w:ind w:firstLine="200"/>
        <w:jc w:val="left"/>
      </w:pPr>
      <w:r>
        <w:rPr>
          <w:rFonts w:ascii="游ゴシック" w:cs="游ゴシック" w:eastAsia="游ゴシック" w:hAnsi="游ゴシック"/>
          <w:i w:val="false"/>
          <w:iCs w:val="false"/>
          <w:sz w:val="21"/>
          <w:szCs w:val="21"/>
        </w:rPr>
        <w:t xml:space="preserve">アウトカム指標（配点100点・本町40点・県内28位）の内訳は次のとおりです。3年間の長期的な変化では県内8位・10位と上位にある一方、直近の短期的な変化は県内31位・24位と下位です。以前は改善していたものが直近で落ちていることを示唆しており、第9期の主要施策の効果を確認する必要があ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8"/>
        <w:gridCol w:w="48"/>
        <w:gridCol w:w="56"/>
        <w:gridCol w:w="128"/>
      </w:tblGrid>
      <w:tr>
        <w:tc>
          <w:tcPr>
            <w:tcW w:type="dxa" w:w="16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アウトカム指標</w:t>
            </w:r>
          </w:p>
        </w:tc>
        <w:tc>
          <w:tcPr>
            <w:tcW w:type="dxa" w:w="4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配点</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川崎町</w:t>
            </w:r>
          </w:p>
        </w:tc>
        <w:tc>
          <w:tcPr>
            <w:tcW w:type="dxa" w:w="1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宮城県平均（県内順位）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短期的な要介護度の変化（要介護１・２）</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10.7（31位）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長期的な要介護度の変化（要介護１・２）</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7.0（10位）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短期的な要介護度の変化（要介護３〜５）</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11.4（24位）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長期的な要介護度の変化（要介護３〜５）</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13.1（8位）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健康寿命延伸の状況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11.1（16位）</w:t>
            </w:r>
          </w:p>
        </w:tc>
      </w:tr>
    </w:tbl>
    <w:p>
      <w:pPr>
        <w:spacing w:after="80" w:before="50" w:line="320"/>
        <w:ind w:firstLine="200"/>
        <w:jc w:val="left"/>
      </w:pPr>
      <w:r>
        <w:rPr>
          <w:rFonts w:ascii="游ゴシック" w:cs="游ゴシック" w:eastAsia="游ゴシック" w:hAnsi="游ゴシック"/>
          <w:i w:val="false"/>
          <w:iCs w:val="false"/>
          <w:sz w:val="21"/>
          <w:szCs w:val="21"/>
        </w:rPr>
        <w:t xml:space="preserve">⚠ 「短期的な要介護度の変化」は直近1年、「長期的な要介護度の変化」は3年の変化を評価する指標です。要介護認定は全国一律の基準により行われるべきものであり、交付金の評価を考慮して認定を行うことは不適切であることに留意します。</w:t>
      </w:r>
    </w:p>
    <w:p>
      <w:pPr>
        <w:spacing w:after="80" w:before="180" w:line="300"/>
      </w:pPr>
      <w:r>
        <w:rPr>
          <w:rFonts w:ascii="游ゴシック" w:cs="游ゴシック" w:eastAsia="游ゴシック" w:hAnsi="游ゴシック"/>
          <w:b w:val="1"/>
          <w:bCs w:val="1"/>
          <w:i w:val="false"/>
          <w:iCs w:val="false"/>
          <w:sz w:val="22"/>
          <w:szCs w:val="22"/>
        </w:rPr>
        <w:t xml:space="preserve">　▌ 規模と条件を揃えた比較</w:t>
      </w:r>
    </w:p>
    <w:p>
      <w:pPr>
        <w:spacing w:after="80" w:before="50" w:line="320"/>
        <w:ind w:firstLine="200"/>
        <w:jc w:val="left"/>
      </w:pPr>
      <w:r>
        <w:rPr>
          <w:rFonts w:ascii="游ゴシック" w:cs="游ゴシック" w:eastAsia="游ゴシック" w:hAnsi="游ゴシック"/>
          <w:i w:val="false"/>
          <w:iCs w:val="false"/>
          <w:sz w:val="21"/>
          <w:szCs w:val="21"/>
        </w:rPr>
        <w:t xml:space="preserve">交付金の得点は団体の規模と強く相関しています。第1号被保険者数が3千人未満の団体の平均は407.6点、10万人以上の団体の平均は527.8点で、120.2点の差があります。また、過疎地域に該当する885保険者の平均437.4点は、非該当855保険者の平均473.5点を36.1点下回ります。本町と同じ規模区分（3千〜1万人未満）かつ過疎地域該当の285保険者で比べると、本町は47位（上位16.5％）で、平均を85.6点上回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0"/>
        <w:gridCol w:w="64"/>
        <w:gridCol w:w="96"/>
        <w:gridCol w:w="80"/>
      </w:tblGrid>
      <w:tr>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比較の軸</w:t>
            </w:r>
          </w:p>
        </w:tc>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対象</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川崎町の順位</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平均との差</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全国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1,741保険者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366位（上位21.0％）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＋72.9点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同規模（第1号被保険者3千〜1万人未満）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535保険者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90位（上位16.8％）</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＋79.2点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同規模かつ過疎地域該当</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285保険者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47位（上位16.5％）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＋85.6点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宮城県内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35保険者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8位（上位22.9％）</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＋30.5点</w:t>
            </w:r>
          </w:p>
        </w:tc>
      </w:tr>
    </w:tbl>
    <w:p>
      <w:pPr>
        <w:spacing w:after="80" w:before="50" w:line="320"/>
        <w:ind w:firstLine="200"/>
        <w:jc w:val="left"/>
      </w:pPr>
      <w:r>
        <w:rPr>
          <w:rFonts w:ascii="游ゴシック" w:cs="游ゴシック" w:eastAsia="游ゴシック" w:hAnsi="游ゴシック"/>
          <w:i w:val="false"/>
          <w:iCs w:val="false"/>
          <w:sz w:val="21"/>
          <w:szCs w:val="21"/>
        </w:rPr>
        <w:t xml:space="preserve">⚠ 全国順位だけでは、規模と過疎地域という本町が変えられない条件による差が、取組の差として受け取られるおそれがあります。一方で同規模の順位だけを示すと実態を甘く見ることになりますので、本計画では両方を併記します。</w:t>
      </w:r>
    </w:p>
    <w:p>
      <w:pPr>
        <w:spacing w:after="80" w:before="180" w:line="300"/>
      </w:pPr>
      <w:r>
        <w:rPr>
          <w:rFonts w:ascii="游ゴシック" w:cs="游ゴシック" w:eastAsia="游ゴシック" w:hAnsi="游ゴシック"/>
          <w:b w:val="1"/>
          <w:bCs w:val="1"/>
          <w:i w:val="false"/>
          <w:iCs w:val="false"/>
          <w:sz w:val="22"/>
          <w:szCs w:val="22"/>
        </w:rPr>
        <w:t xml:space="preserve">　▌ 規模区分・過疎地域該当ごとの平均（参考）</w:t>
      </w:r>
    </w:p>
    <w:p>
      <w:pPr>
        <w:spacing w:after="80" w:before="50" w:line="320"/>
        <w:ind w:firstLine="200"/>
        <w:jc w:val="left"/>
      </w:pPr>
      <w:r>
        <w:rPr>
          <w:rFonts w:ascii="游ゴシック" w:cs="游ゴシック" w:eastAsia="游ゴシック" w:hAnsi="游ゴシック"/>
          <w:i w:val="false"/>
          <w:iCs w:val="false"/>
          <w:sz w:val="21"/>
          <w:szCs w:val="21"/>
        </w:rPr>
        <w:t xml:space="preserve">令和8年度の市町村分（推進・支援合計800点満点）の分布は次のとおりです。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76"/>
        <w:gridCol w:w="64"/>
        <w:gridCol w:w="80"/>
        <w:gridCol w:w="80"/>
      </w:tblGrid>
      <w:tr>
        <w:tc>
          <w:tcPr>
            <w:tcW w:type="dxa" w:w="17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規模区分（第1号被保険者数）</w:t>
            </w:r>
          </w:p>
        </w:tc>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保険者数</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平均</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中央値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区分1　3千人未満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451</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407.6点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408.0点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区分2　3千〜1万人未満（川崎町）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535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448.8点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456.0点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区分3　1万〜5万人未満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608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481.1点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488.0点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区分4　5万〜10万人未満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83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508.0点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517.0点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区分5　10万人以上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64</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527.8点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535.5点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過疎地域該当</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885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437.4点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445.0点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過疎地域非該当</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855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473.5点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485.0点</w:t>
            </w:r>
          </w:p>
        </w:tc>
      </w:tr>
    </w:tbl>
    <w:p>
      <w:pPr>
        <w:spacing w:after="80" w:before="180" w:line="300"/>
      </w:pPr>
      <w:r>
        <w:rPr>
          <w:rFonts w:ascii="游ゴシック" w:cs="游ゴシック" w:eastAsia="游ゴシック" w:hAnsi="游ゴシック"/>
          <w:b w:val="1"/>
          <w:bCs w:val="1"/>
          <w:i w:val="false"/>
          <w:iCs w:val="false"/>
          <w:sz w:val="22"/>
          <w:szCs w:val="22"/>
        </w:rPr>
        <w:t xml:space="preserve">　▌ 3年間で変わらない強みと、一度も取れていない指標</w:t>
      </w:r>
    </w:p>
    <w:p>
      <w:pPr>
        <w:spacing w:after="80" w:before="50" w:line="320"/>
        <w:ind w:firstLine="200"/>
        <w:jc w:val="left"/>
      </w:pPr>
      <w:r>
        <w:rPr>
          <w:rFonts w:ascii="游ゴシック" w:cs="游ゴシック" w:eastAsia="游ゴシック" w:hAnsi="游ゴシック"/>
          <w:i w:val="false"/>
          <w:iCs w:val="false"/>
          <w:sz w:val="21"/>
          <w:szCs w:val="21"/>
        </w:rPr>
        <w:t xml:space="preserve">令和6年度から令和8年度までの3か年で、本町が満点を続けている指標は15項目・計241点あります。体制・取組指標が中心で、いずれも全国平均を大きく上回ります。とりわけ「難聴高齢者の早期発見・早期介入」は、令和7年度に指標が新設された初年度から2年連続で20点満点であり（全国平均は令和7年度4.5点・令和8年度6.9点）、制度ができる前から本町が取り組んでいたことを示し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74"/>
        <w:gridCol w:w="36"/>
        <w:gridCol w:w="90"/>
      </w:tblGrid>
      <w:tr>
        <w:tc>
          <w:tcPr>
            <w:tcW w:type="dxa" w:w="17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3年連続で満点の指標（15項目・計241点）</w:t>
            </w:r>
          </w:p>
        </w:tc>
        <w:tc>
          <w:tcPr>
            <w:tcW w:type="dxa" w:w="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配点</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全国平均（R8）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庁内・庁外における連携体制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23.8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給付費適正化方策の策定状況</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25.1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介護人材の確保・定着の取組状況</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18.8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在宅医療・介護連携の具体的取組状況</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18.4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医療・介護関係者間の情報共有</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18.1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認知症の早期診断・早期対応の体制構築</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15.8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地域の介護保険事業の特徴／事業計画の進捗状況</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各16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14.9／13.3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アウトリーチ等の取組状況／介護予防・生活支援の体制整備</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各9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6.3／5.8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介護予防等と保健事業の一体的実施／通いの場参加者の健康状態の把握・分析／地域リハビリテーションの推進／多様なサービスの活用推進</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各7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4.0〜6.1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データを活用した課題の把握</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5.0</w:t>
            </w:r>
          </w:p>
        </w:tc>
      </w:tr>
    </w:tbl>
    <w:p>
      <w:pPr>
        <w:spacing w:after="80" w:before="50" w:line="320"/>
        <w:ind w:firstLine="200"/>
        <w:jc w:val="left"/>
      </w:pPr>
      <w:r>
        <w:rPr>
          <w:rFonts w:ascii="游ゴシック" w:cs="游ゴシック" w:eastAsia="游ゴシック" w:hAnsi="游ゴシック"/>
          <w:i w:val="false"/>
          <w:iCs w:val="false"/>
          <w:sz w:val="21"/>
          <w:szCs w:val="21"/>
        </w:rPr>
        <w:t xml:space="preserve">⚠ 一方、3か年とも0点の指標が6項目・計68点あります。人生の最終段階における支援の実施状況（16点）、PFS委託事業数・介護の仕事の魅力に関する研修・介護人材の定着・資質向上に関する研修・認知症サポーター数（各12点）、生活支援コーディネーターの地域ケア会議への参加割合（4点）です。また、ケアプラン点検の実施状況は令和6年度8点から令和7・8年度は4点に下がり、全国平均6.4点を下回っています。</w:t>
      </w:r>
    </w:p>
    <w:p>
      <w:pPr>
        <w:spacing w:after="80" w:before="180" w:line="300"/>
      </w:pPr>
      <w:r>
        <w:rPr>
          <w:rFonts w:ascii="游ゴシック" w:cs="游ゴシック" w:eastAsia="游ゴシック" w:hAnsi="游ゴシック"/>
          <w:b w:val="1"/>
          <w:bCs w:val="1"/>
          <w:i w:val="false"/>
          <w:iCs w:val="false"/>
          <w:sz w:val="22"/>
          <w:szCs w:val="22"/>
        </w:rPr>
        <w:t xml:space="preserve">　▌ 失点を取り戻す順序</w:t>
      </w:r>
    </w:p>
    <w:p>
      <w:pPr>
        <w:spacing w:after="80" w:before="50" w:line="320"/>
        <w:ind w:firstLine="200"/>
        <w:jc w:val="left"/>
      </w:pPr>
      <w:r>
        <w:rPr>
          <w:rFonts w:ascii="游ゴシック" w:cs="游ゴシック" w:eastAsia="游ゴシック" w:hAnsi="游ゴシック"/>
          <w:i w:val="false"/>
          <w:iCs w:val="false"/>
          <w:sz w:val="21"/>
          <w:szCs w:val="21"/>
        </w:rPr>
        <w:t xml:space="preserve">令和8年度に0点であった9指標について、同規模かつ過疎地域該当の285保険者のうちどれだけが満点を取っているかを数え、取りに行く順序を定めました。配点の大きさではなく、同規模の団体が現に取れているかどうかで順位を付け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1"/>
        <w:gridCol w:w="102"/>
        <w:gridCol w:w="177"/>
      </w:tblGrid>
      <w:tr>
        <w:tc>
          <w:tcPr>
            <w:tcW w:type="dxa" w:w="2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優先</w:t>
            </w:r>
          </w:p>
        </w:tc>
        <w:tc>
          <w:tcPr>
            <w:tcW w:type="dxa" w:w="10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0点の指標（配点）</w:t>
            </w:r>
          </w:p>
        </w:tc>
        <w:tc>
          <w:tcPr>
            <w:tcW w:type="dxa" w:w="17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当面の方針（同規模285団体で満点を取っている数）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評価結果の活用（16点）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令和7年度は満点であった。仕組みを戻す（8-3・8-4）。同規模で満点110件（38.6％）</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生活支援コーディネーターの地域ケア会議への参加割合（4点）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配置数は満点。会議への出席を運用で確保する。同規模で満点161件（56.5％）で最も取りやすい</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認知症サポーター数（12点）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段階的に取りに行く（第6章）。同規模で満点32件（11.2％）・一部取得167件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後期高齢者と給付費の伸び率比較（12点）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給付費の伸びの管理と一体で（8-3）。同規模で満点15件（5.3％）・一部取得180件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短期的な要介護度の変化（要介護１・２）（40点）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満点は同規模に1件もない。一部取得（233件・81.8％）を目標とする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介護の仕事の魅力／定着・資質向上に関する研修（各12点）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第2回策定委員会の選択4のご判断による。同規模で満点15件／9件（3〜5％）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人生の最終段階における支援の実施状況（16点）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同規模平均3.6点で全国平均6.4点を下回る。ACPの実施記録を残す運用から始める。同規模で満点3件（1.1％）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PFS（成果連動型民間委託契約）委託事業数（12点）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第10期では追わない。同規模で満点1件（0.4％）・269件が0点</w:t>
            </w:r>
          </w:p>
        </w:tc>
      </w:tr>
    </w:tbl>
    <w:p>
      <w:pPr>
        <w:spacing w:after="80" w:before="50" w:line="320"/>
        <w:ind w:firstLine="200"/>
        <w:jc w:val="left"/>
      </w:pPr>
      <w:r>
        <w:rPr>
          <w:rFonts w:ascii="游ゴシック" w:cs="游ゴシック" w:eastAsia="游ゴシック" w:hAnsi="游ゴシック"/>
          <w:i w:val="false"/>
          <w:iCs w:val="false"/>
          <w:sz w:val="21"/>
          <w:szCs w:val="21"/>
        </w:rPr>
        <w:t xml:space="preserve">⚠ PFS（成果連動型民間委託契約）委託事業数は、同規模285団体のうち満点が1件のみ・269件が0点で、全国平均も0.3点です。配点12点を追うより他に手を入れるべきであり、第10期計画には位置付けません。また「短期的な要介護度の変化」は同規模で満点が1件もない指標です。要介護認定は全国一律の基準により行われるべきものであり、交付金の評価を考慮して認定を行うことは不適切であることに留意しつつ、一部取得を目標とします。この順序は第8章8-3・8-4及び第10章10-4のKPI管理表に組み込みます。</w:t>
      </w:r>
    </w:p>
    <w:p>
      <w:pPr>
        <w:spacing w:after="80" w:before="180" w:line="300"/>
      </w:pPr>
      <w:r>
        <w:rPr>
          <w:rFonts w:ascii="游ゴシック" w:cs="游ゴシック" w:eastAsia="游ゴシック" w:hAnsi="游ゴシック"/>
          <w:b w:val="1"/>
          <w:bCs w:val="1"/>
          <w:i w:val="false"/>
          <w:iCs w:val="false"/>
          <w:sz w:val="22"/>
          <w:szCs w:val="22"/>
        </w:rPr>
        <w:t xml:space="preserve">　▌ 3つの指標群でみた本町の位置</w:t>
      </w:r>
    </w:p>
    <w:p>
      <w:pPr>
        <w:spacing w:after="80" w:before="50" w:line="320"/>
        <w:ind w:firstLine="200"/>
        <w:jc w:val="left"/>
      </w:pPr>
      <w:r>
        <w:rPr>
          <w:rFonts w:ascii="游ゴシック" w:cs="游ゴシック" w:eastAsia="游ゴシック" w:hAnsi="游ゴシック"/>
          <w:i w:val="false"/>
          <w:iCs w:val="false"/>
          <w:sz w:val="21"/>
          <w:szCs w:val="21"/>
        </w:rPr>
        <w:t xml:space="preserve">令和8年度の800点は、体制・取組指標群（380点）、活動指標群（220点）、成果指標群（200点）の3つで構成されています。本町の得点をこの3つに分けると、はっきりとした傾斜があります。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
        <w:gridCol w:w="80"/>
        <w:gridCol w:w="112"/>
        <w:gridCol w:w="88"/>
      </w:tblGrid>
      <w:tr>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指標群（満点）</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川崎町</w:t>
            </w:r>
          </w:p>
        </w:tc>
        <w:tc>
          <w:tcPr>
            <w:tcW w:type="dxa" w:w="11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全国1,741保険者</w:t>
            </w:r>
          </w:p>
        </w:tc>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同規模かつ過疎285保険者</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体制・取組指標群（380点）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353点（92.9％）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166位／平均276.3点（72.7％）</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21位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活動指標群（220点）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95点（43.2％）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514位／平均83.3点（37.9％）</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69位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成果指標群（200点）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80点（40.0％）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1,087位／平均95.5点（47.8％）</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176位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合計（800点）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528点（66.0％）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366位／平均455.1点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47位</w:t>
            </w:r>
          </w:p>
        </w:tc>
      </w:tr>
    </w:tbl>
    <w:p>
      <w:pPr>
        <w:spacing w:after="80" w:before="50" w:line="320"/>
        <w:ind w:firstLine="200"/>
        <w:jc w:val="left"/>
      </w:pPr>
      <w:r>
        <w:rPr>
          <w:rFonts w:ascii="游ゴシック" w:cs="游ゴシック" w:eastAsia="游ゴシック" w:hAnsi="游ゴシック"/>
          <w:i w:val="false"/>
          <w:iCs w:val="false"/>
          <w:sz w:val="21"/>
          <w:szCs w:val="21"/>
        </w:rPr>
        <w:t xml:space="preserve">⚠ 体制・取組指標群は全国上位9.5％、活動指標群は上位29.5％である一方、成果指標群は全国平均を15.5点下回り下位37.6％にとどまります。仕組みは整っているが、活動量と成果が伴っていないという形であり、3-4の課題⑪（取組と成果の接続）と一致します。なお体制・取組指標群が380点満点である保険者は、全国1,741保険者のうち6団体のみです。</w:t>
      </w:r>
    </w:p>
    <w:p>
      <w:pPr>
        <w:spacing w:after="80" w:before="180" w:line="300"/>
      </w:pPr>
      <w:r>
        <w:rPr>
          <w:rFonts w:ascii="游ゴシック" w:cs="游ゴシック" w:eastAsia="游ゴシック" w:hAnsi="游ゴシック"/>
          <w:b w:val="1"/>
          <w:bCs w:val="1"/>
          <w:i w:val="false"/>
          <w:iCs w:val="false"/>
          <w:sz w:val="22"/>
          <w:szCs w:val="22"/>
        </w:rPr>
        <w:t xml:space="preserve">　▌ 体制・取組指標群の失点は3か所・27点</w:t>
      </w:r>
    </w:p>
    <w:p>
      <w:pPr>
        <w:spacing w:after="80" w:before="50" w:line="320"/>
        <w:ind w:firstLine="200"/>
        <w:jc w:val="left"/>
      </w:pPr>
      <w:r>
        <w:rPr>
          <w:rFonts w:ascii="游ゴシック" w:cs="游ゴシック" w:eastAsia="游ゴシック" w:hAnsi="游ゴシック"/>
          <w:i w:val="false"/>
          <w:iCs w:val="false"/>
          <w:sz w:val="21"/>
          <w:szCs w:val="21"/>
        </w:rPr>
        <w:t xml:space="preserve">令和8年度の失点272点のうち、体制・取組指標群の失点は27点にとどまります。その27点は次の3か所だけであり、いずれも新たな事業も予算も要さず、仕組みを定めて本計画に書くことで得点できます。失点の額としては小さいものの、取り戻せる確実性は最も高い部分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4"/>
        <w:gridCol w:w="24"/>
        <w:gridCol w:w="80"/>
        <w:gridCol w:w="192"/>
      </w:tblGrid>
      <w:tr>
        <w:tc>
          <w:tcPr>
            <w:tcW w:type="dxa" w:w="10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失点した枝番</w:t>
            </w:r>
          </w:p>
        </w:tc>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配点</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全国の得点率</w:t>
            </w:r>
          </w:p>
        </w:tc>
        <w:tc>
          <w:tcPr>
            <w:tcW w:type="dxa" w:w="19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要件と本計画での手当て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推進 目標Ⅰ（ⅰ）4　評価結果の活用　ア〜エ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16</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ア83.1％／イ64.4％／ウ70.0％／エ50.3％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ア＝交付金の評価結果を庁内の関係各課で共有する場を年1回以上設ける。イ＝その場に庁外の関係者が参画する（策定委員会・地域ケア会議に議題を追加すれば足りる）。ウ＝その場の意見を施策の改善に活用する（一部の事業でよい）。エ＝直近年度の評価結果を小項目レベルの得点獲得状況まで公表する。→ 第8章8-4に手順を定める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推進 目標Ⅱ（ⅰ）2　給付費適正化事業の取組状況　ア（3事業の全てを実施）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96.9％（宮城県内91.4％）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要介護認定の適正化・ケアプラン等の点検・縦覧点検・医療情報との突合の3事業をすべて実施していることが要件。同じ項目のイ〜オ30点は満点であり、3事業のうち欠けているものを特定すれば足りる。→ 第8章8-2に位置付ける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支援 目標Ⅱ（ⅰ）1　カ　認知症の人及び家族等の意見を踏まえた市町村認知症施策推進計画の策定に着手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42.8％（同規模かつ過疎30.9％）</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認知症の人と家族等が参画し意見を反映させる仕組みを整えたうえで策定に着手していることが要件。同じ項目のア〜オ20点は満点。→ 第6章6-1の策定手続がそのまま要件となる</w:t>
            </w:r>
          </w:p>
        </w:tc>
      </w:tr>
    </w:tbl>
    <w:p>
      <w:pPr>
        <w:spacing w:after="80" w:before="50" w:line="320"/>
        <w:ind w:firstLine="200"/>
        <w:jc w:val="left"/>
      </w:pPr>
      <w:r>
        <w:rPr>
          <w:rFonts w:ascii="游ゴシック" w:cs="游ゴシック" w:eastAsia="游ゴシック" w:hAnsi="游ゴシック"/>
          <w:i w:val="false"/>
          <w:iCs w:val="false"/>
          <w:sz w:val="21"/>
          <w:szCs w:val="21"/>
        </w:rPr>
        <w:t xml:space="preserve">⚠ このうち後の2件は、項目の単位でみると得点しているため（給付費適正化事業の取組状況は36点中30点、認知症サポーター等を活用した地域支援体制の構築は25点中20点）、本素案Ver.1.22・Ver.1.23の「0点となった9指標」には含まれていませんでした。枝番の単位まで下ろして評価指標の本文と突き合わせたことにより、新たに把握したものです。</w:t>
      </w:r>
    </w:p>
    <w:p>
      <w:pPr>
        <w:spacing w:after="80" w:before="50" w:line="320"/>
        <w:ind w:firstLine="200"/>
        <w:jc w:val="left"/>
      </w:pPr>
      <w:r>
        <w:rPr>
          <w:rFonts w:ascii="游ゴシック" w:cs="游ゴシック" w:eastAsia="游ゴシック" w:hAnsi="游ゴシック"/>
          <w:i w:val="false"/>
          <w:iCs w:val="false"/>
          <w:sz w:val="21"/>
          <w:szCs w:val="21"/>
        </w:rPr>
        <w:t xml:space="preserve">⚠ 「給付費適正化事業の取組状況」のアは、全国1,741保険者の96.9％が得点している項目です。本町が0点であるのは、3事業（要介護認定の適正化／ケアプラン等の点検／縦覧点検・医療情報との突合）のいずれかを実施していないか、実施していても該当状況調査で「実施」と回答していないかのいずれかです。同じ項目のイ〜オで30点を満点で得ているため、実施状況をご確認いただきます（確認事項No.127）。</w:t>
      </w:r>
    </w:p>
    <w:p>
      <w:pPr>
        <w:spacing w:after="80" w:before="50" w:line="320"/>
        <w:ind w:firstLine="200"/>
        <w:jc w:val="left"/>
      </w:pPr>
      <w:r>
        <w:rPr>
          <w:rFonts w:ascii="游ゴシック" w:cs="游ゴシック" w:eastAsia="游ゴシック" w:hAnsi="游ゴシック"/>
          <w:i w:val="false"/>
          <w:iCs w:val="false"/>
          <w:sz w:val="21"/>
          <w:szCs w:val="21"/>
        </w:rPr>
        <w:t xml:space="preserve">⚠ 「評価結果の活用」の16点は令和6・7年度に満点であり、令和8年度に4つの枝番がそろって0点になりました。ア（庁内で共有する場がある）から0点であることから、場そのものが設けられなかったものと考えられます。第2回策定委員会で交付金の評価結果をご報告することは、そのまま要件イ（庁外の関係者の参画）を満たします。</w:t>
      </w:r>
    </w:p>
    <w:p>
      <w:pPr>
        <w:spacing w:after="80" w:before="50" w:line="320"/>
        <w:ind w:firstLine="200"/>
        <w:jc w:val="left"/>
      </w:pPr>
      <w:r>
        <w:rPr>
          <w:rFonts w:ascii="游ゴシック" w:cs="游ゴシック" w:eastAsia="游ゴシック" w:hAnsi="游ゴシック"/>
          <w:i w:val="false"/>
          <w:iCs w:val="false"/>
          <w:sz w:val="21"/>
          <w:szCs w:val="21"/>
        </w:rPr>
        <w:t xml:space="preserve">⚠ 交付金の得点は、交付額に直接に換算できません。保険者機能強化推進交付金及び介護保険保険者努力支援交付金の交付額は、固定の単価によるものではなく、各保険者の評価得点に第1号被保険者数を乗じた値を用いて、国全体の予算額を全保険者で按分して算定されます。したがって、本町の得点が上がっても、同時に他の保険者の得点が上がれば交付額は増えないことがあります。本計画では、得点の回復を「増額の可能性がある」ものとして扱い、金額の見込みは立てていません。第9章9-1の保険料算定における交付金の取扱いも、令和8年度の交付実績を据え置いています（確認事項No.39）。</w:t>
      </w:r>
    </w:p>
    <w:p>
      <w:pPr>
        <w:spacing w:after="80" w:before="180" w:line="300"/>
      </w:pPr>
      <w:r>
        <w:rPr>
          <w:rFonts w:ascii="游ゴシック" w:cs="游ゴシック" w:eastAsia="游ゴシック" w:hAnsi="游ゴシック"/>
          <w:b w:val="1"/>
          <w:bCs w:val="1"/>
          <w:i w:val="false"/>
          <w:iCs w:val="false"/>
          <w:sz w:val="22"/>
          <w:szCs w:val="22"/>
        </w:rPr>
        <w:t xml:space="preserve">　▌ 成果指向型配分枠（配点100点）</w:t>
      </w:r>
    </w:p>
    <w:p>
      <w:pPr>
        <w:spacing w:after="80" w:before="50" w:line="320"/>
        <w:ind w:firstLine="200"/>
        <w:jc w:val="left"/>
      </w:pPr>
      <w:r>
        <w:rPr>
          <w:rFonts w:ascii="游ゴシック" w:cs="游ゴシック" w:eastAsia="游ゴシック" w:hAnsi="游ゴシック"/>
          <w:i w:val="false"/>
          <w:iCs w:val="false"/>
          <w:sz w:val="21"/>
          <w:szCs w:val="21"/>
        </w:rPr>
        <w:t xml:space="preserve">保険者機能強化推進交付金には、上記の800点とは別に「成果指向型配分枠」（配点100点）があります。単一の指標で「成果指向型の介護予防・健康づくりに関する取組を行っているか」を問うもので、要件は次の5つです。いずれも本計画が既に満たしており、追加の事業も調査も要しません。</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32"/>
        <w:gridCol w:w="78"/>
        <w:gridCol w:w="90"/>
      </w:tblGrid>
      <w:tr>
        <w:tc>
          <w:tcPr>
            <w:tcW w:type="dxa" w:w="1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要件（評価指標の留意点）</w:t>
            </w:r>
          </w:p>
        </w:tc>
        <w:tc>
          <w:tcPr>
            <w:tcW w:type="dxa" w:w="7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本計画の該当箇所</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状況</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地域の介護給付費の動向・地域資源・医療・介護・健康づくりに関するデータ等、十分なデータに基づき地域分析を行い課題を設定している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第2章2-1〜2-5・第3章3-1〜3-2・第4章</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2調査718件と令和7年度実績により実施済み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年齢・状態・性別等の具体的な住民層を特定して対象層を設定している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第4章4-1（重点課題）・第5章5-3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「単身かつ家族介護なし」「本人が女性の世帯の50代以下の介護者」等を特定済み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データ等に基づく客観的な評価が行えるアウトプット指標を置いている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第10章10-4（KPI管理表）</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活動指標として設定済み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対象層や社会に現れた変化を客観的に効果検証できるアウトカム指標を置いている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第10章10-4・第6章6-3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成果指標として設定済み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アウトプット指標・アウトカム指標に具体的な目標値を記載している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第10章10-4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第2回・第3回策定委員会で確定</w:t>
            </w:r>
          </w:p>
        </w:tc>
      </w:tr>
    </w:tbl>
    <w:p>
      <w:pPr>
        <w:spacing w:after="80" w:before="50" w:line="320"/>
        <w:ind w:firstLine="200"/>
        <w:jc w:val="left"/>
      </w:pPr>
      <w:r>
        <w:rPr>
          <w:rFonts w:ascii="游ゴシック" w:cs="游ゴシック" w:eastAsia="游ゴシック" w:hAnsi="游ゴシック"/>
          <w:i w:val="false"/>
          <w:iCs w:val="false"/>
          <w:sz w:val="21"/>
          <w:szCs w:val="21"/>
        </w:rPr>
        <w:t xml:space="preserve">⚠ 本枠は該当状況調査の結果により厚生労働省が算定するもので、全国一覧表（001732614.xlsx）に含まれていないため、本町の得点は把握できていません。宮城県を通じて確認します（確認事項No.128）。</w:t>
      </w:r>
    </w:p>
    <w:p>
      <w:pPr>
        <w:spacing w:after="100" w:before="200" w:line="320"/>
      </w:pPr>
      <w:r>
        <w:rPr>
          <w:rFonts w:ascii="游ゴシック" w:cs="游ゴシック" w:eastAsia="游ゴシック" w:hAnsi="游ゴシック"/>
          <w:b w:val="1"/>
          <w:bCs w:val="1"/>
          <w:i w:val="false"/>
          <w:iCs w:val="false"/>
          <w:sz w:val="25"/>
          <w:szCs w:val="25"/>
        </w:rPr>
        <w:t>3-4　第10期に向けた課題</w:t>
      </w:r>
    </w:p>
    <w:p>
      <w:pPr>
        <w:spacing w:after="80" w:before="50" w:line="320"/>
        <w:ind w:firstLine="200"/>
        <w:jc w:val="left"/>
      </w:pPr>
      <w:r>
        <w:rPr>
          <w:rFonts w:ascii="游ゴシック" w:cs="游ゴシック" w:eastAsia="游ゴシック" w:hAnsi="游ゴシック"/>
          <w:i w:val="false"/>
          <w:iCs w:val="false"/>
          <w:sz w:val="21"/>
          <w:szCs w:val="21"/>
        </w:rPr>
        <w:t xml:space="preserve">キックオフ会議における自治体課題の確認、実績データの分析、及び令和8年6〜7月に実施した2調査の結果から、第10期計画では以下の課題への対応が重要となります。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No.</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課題</w:t>
            </w:r>
          </w:p>
        </w:tc>
        <w:tc>
          <w:tcPr>
            <w:tcW w:type="pct" w:w="6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背景・現状</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後期高齢者の急増</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75歳以上が4年で+10.9%（1,510→1,675人）。認定率上昇・介護需要増の継続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町外施設依存と地域偏在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町内施設縮小・町外住所地特例24人。施設は役場周辺に偏在し地域格差あり</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③</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移動支援の再構築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R7.3でタクシー助成終了。社協・NPO移送＋デマンドバスへ移行も周知が課題</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④</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認知症基本法対応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R6.1施行。認知症施策推進計画の独立章化・本人意見反映・KPI設定が必須</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⑤</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8050問題・老老介護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独居・夫婦のみに加え、未婚の子と高齢親の同居世帯での介護負担が課題。本人が男性の世帯では介護者の70.6％が70歳以上</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⑥</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地域包括支援センターの体制強化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保健師3＋認定調査1の4名体制。認定調査1名で負担大・ケアプラン外部委託あり</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3計画整合（地域福祉・障害・介護）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同時策定（地福・障害はジャパン総研）。移送・重層的支援等の論点整理が必要</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⑧</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広域医療連携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みやぎ県南中核病院・刈田綜合病院との連携の計画明記</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相談窓口が届いていない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家族・友人以外に相談相手がいない38.8％、認知症相談窓口を知らない52.3％。世帯構成によらない共通の課題であり、対象を絞らない周知が必要</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⑩</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家族介護者が不在の在宅世帯</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在宅の認定者のうち家族介護もサービス利用もない世帯が50件（36.2％）。施設入所の申込みは要介護度よりも世帯の状況と強く関連しており、「単身世帯かつ家族介護なし」では83.3％（24件中20件）が申込済み</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⑪</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取組と成果の接続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保険者機能強化推進交付金等の評価は取組（プロセス）が全国上位である一方、要介護度の伸び・調整済み認定率等のアウトカムは全国下位。成果を確認する仕組みが必要</w:t>
            </w:r>
          </w:p>
        </w:tc>
      </w:tr>
    </w:tbl>
    <w:p>
      <w:pPr>
        <w:pageBreakBefore/>
        <w:spacing w:after="0" w:before="0" w:line="240"/>
      </w:pPr>
      <w:r>
        <w:rPr>
          <w:rFonts w:ascii="游ゴシック" w:cs="游ゴシック" w:eastAsia="游ゴシック" w:hAnsi="游ゴシック"/>
          <w:i w:val="false"/>
          <w:iCs w:val="false"/>
          <w:sz w:val="21"/>
          <w:szCs w:val="21"/>
        </w:rPr>
        <w:t xml:space="preserve"/>
      </w:r>
    </w:p>
    <w:p>
      <w:pPr>
        <w:spacing w:after="0" w:before="240" w:line="320"/>
      </w:pPr>
      <w:r>
        <w:rPr>
          <w:rFonts w:ascii="游ゴシック" w:cs="游ゴシック" w:eastAsia="游ゴシック" w:hAnsi="游ゴシック"/>
          <w:b w:val="1"/>
          <w:bCs w:val="1"/>
          <w:i w:val="false"/>
          <w:iCs w:val="false"/>
          <w:sz w:val="30"/>
          <w:szCs w:val="30"/>
        </w:rPr>
        <w:t xml:space="preserve">第 4 章</w:t>
      </w:r>
    </w:p>
    <w:p>
      <w:pPr>
        <w:spacing w:after="140" w:before="0" w:line="320"/>
      </w:pPr>
      <w:r>
        <w:rPr>
          <w:rFonts w:ascii="游ゴシック" w:cs="游ゴシック" w:eastAsia="游ゴシック" w:hAnsi="游ゴシック"/>
          <w:b w:val="1"/>
          <w:bCs w:val="1"/>
          <w:i w:val="false"/>
          <w:iCs w:val="false"/>
          <w:sz w:val="30"/>
          <w:szCs w:val="30"/>
        </w:rPr>
        <w:t xml:space="preserve">計画の基本理念と基本目標</w:t>
      </w:r>
    </w:p>
    <w:p>
      <w:pPr>
        <w:spacing w:after="200" w:before="200"/>
      </w:pPr>
      <w:r>
        <w:rPr>
          <w:rFonts w:ascii="游ゴシック" w:cs="游ゴシック" w:eastAsia="游ゴシック" w:hAnsi="游ゴシック"/>
          <w:i w:val="false"/>
          <w:iCs w:val="false"/>
          <w:sz w:val="21"/>
          <w:szCs w:val="21"/>
        </w:rPr>
        <w:t xml:space="preserve"/>
      </w:r>
    </w:p>
    <w:p>
      <w:pPr>
        <w:spacing w:after="100" w:before="200" w:line="320"/>
      </w:pPr>
      <w:r>
        <w:rPr>
          <w:rFonts w:ascii="游ゴシック" w:cs="游ゴシック" w:eastAsia="游ゴシック" w:hAnsi="游ゴシック"/>
          <w:b w:val="1"/>
          <w:bCs w:val="1"/>
          <w:i w:val="false"/>
          <w:iCs w:val="false"/>
          <w:sz w:val="25"/>
          <w:szCs w:val="25"/>
        </w:rPr>
        <w:t>4-1　基本理念（第9期踏襲）</w:t>
      </w:r>
    </w:p>
    <w:p>
      <w:pPr>
        <w:spacing w:after="80" w:before="50" w:line="320"/>
        <w:ind w:firstLine="200"/>
        <w:jc w:val="left"/>
      </w:pPr>
      <w:r>
        <w:rPr>
          <w:rFonts w:ascii="游ゴシック" w:cs="游ゴシック" w:eastAsia="游ゴシック" w:hAnsi="游ゴシック"/>
          <w:i w:val="false"/>
          <w:iCs w:val="false"/>
          <w:sz w:val="21"/>
          <w:szCs w:val="21"/>
        </w:rPr>
        <w:t xml:space="preserve">キックオフ会議における町方針「計画内容は現状の目標・方針について第9期計画を踏襲する形とし、国の方針を新たに入れていくことを優先する」を踏まえ、本計画では第9期計画の基本理念「誰もが健やかに暮らせるまちづくり」（第9期計画書42頁）を継承します。</w:t>
      </w:r>
    </w:p>
    <w:p>
      <w:pPr>
        <w:spacing w:after="80" w:before="180" w:line="300"/>
      </w:pPr>
      <w:r>
        <w:rPr>
          <w:rFonts w:ascii="游ゴシック" w:cs="游ゴシック" w:eastAsia="游ゴシック" w:hAnsi="游ゴシック"/>
          <w:b w:val="1"/>
          <w:bCs w:val="1"/>
          <w:i w:val="false"/>
          <w:iCs w:val="false"/>
          <w:sz w:val="22"/>
          <w:szCs w:val="22"/>
        </w:rPr>
        <w:t xml:space="preserve">　▌ 基本理念（案）</w:t>
      </w:r>
    </w:p>
    <w:p>
      <w:pPr>
        <w:spacing w:after="240" w:before="240" w:line="360"/>
        <w:jc w:val="center"/>
      </w:pPr>
      <w:r>
        <w:rPr>
          <w:rFonts w:ascii="游ゴシック" w:cs="游ゴシック" w:eastAsia="游ゴシック" w:hAnsi="游ゴシック"/>
          <w:b w:val="1"/>
          <w:bCs w:val="1"/>
          <w:i w:val="false"/>
          <w:iCs w:val="false"/>
          <w:sz w:val="26"/>
          <w:szCs w:val="26"/>
        </w:rPr>
        <w:t xml:space="preserve">誰もが健やかに暮らせるまちづくり</w:t>
      </w:r>
    </w:p>
    <w:p>
      <w:pPr>
        <w:spacing w:after="80" w:before="180" w:line="300"/>
      </w:pPr>
      <w:r>
        <w:rPr>
          <w:rFonts w:ascii="游ゴシック" w:cs="游ゴシック" w:eastAsia="游ゴシック" w:hAnsi="游ゴシック"/>
          <w:b w:val="1"/>
          <w:bCs w:val="1"/>
          <w:i w:val="false"/>
          <w:iCs w:val="false"/>
          <w:sz w:val="22"/>
          <w:szCs w:val="22"/>
        </w:rPr>
        <w:t xml:space="preserve">　▌ サブタイトル（第10期で新たに付加）</w:t>
      </w:r>
    </w:p>
    <w:p>
      <w:pPr>
        <w:spacing w:after="200" w:before="200" w:line="320"/>
        <w:jc w:val="center"/>
      </w:pPr>
      <w:r>
        <w:rPr>
          <w:rFonts w:ascii="游ゴシック" w:cs="游ゴシック" w:eastAsia="游ゴシック" w:hAnsi="游ゴシック"/>
          <w:b w:val="1"/>
          <w:bCs w:val="1"/>
          <w:i/>
          <w:iCs/>
          <w:sz w:val="26"/>
          <w:szCs w:val="26"/>
        </w:rPr>
        <w:t xml:space="preserve">〜 認知症になっても誰もが自分らしく暮らせる地域共生社会の実現 〜</w:t>
      </w:r>
    </w:p>
    <w:p>
      <w:pPr>
        <w:spacing w:after="80" w:before="50" w:line="320"/>
        <w:ind w:firstLine="200"/>
        <w:jc w:val="left"/>
      </w:pPr>
      <w:r>
        <w:rPr>
          <w:rFonts w:ascii="游ゴシック" w:cs="游ゴシック" w:eastAsia="游ゴシック" w:hAnsi="游ゴシック"/>
          <w:i w:val="false"/>
          <w:iCs w:val="false"/>
          <w:sz w:val="21"/>
          <w:szCs w:val="21"/>
        </w:rPr>
        <w:t xml:space="preserve">第10期計画では、令和6年1月に施行された認知症基本法を踏まえ、認知症があっても誰もが地域で自分らしく暮らせる共生社会の実現を強調するサブタイトルを新設します。</w:t>
      </w:r>
    </w:p>
    <w:p>
      <w:pPr>
        <w:spacing w:after="80" w:before="80" w:line="280"/>
        <w:ind w:left="288"/>
      </w:pPr>
      <w:r>
        <w:rPr>
          <w:rFonts w:ascii="游ゴシック" w:cs="游ゴシック" w:eastAsia="游ゴシック" w:hAnsi="游ゴシック"/>
          <w:i/>
          <w:iCs/>
          <w:sz w:val="19"/>
          <w:szCs w:val="19"/>
        </w:rPr>
        <w:t xml:space="preserve">⚠ 基本理念の本文・サブタイトル案は、第1回策定委員会（令和8年9月2日）でご審議いただき、確定します。</w:t>
      </w:r>
    </w:p>
    <w:p>
      <w:pPr>
        <w:spacing w:after="100" w:before="200" w:line="320"/>
      </w:pPr>
      <w:r>
        <w:rPr>
          <w:rFonts w:ascii="游ゴシック" w:cs="游ゴシック" w:eastAsia="游ゴシック" w:hAnsi="游ゴシック"/>
          <w:b w:val="1"/>
          <w:bCs w:val="1"/>
          <w:i w:val="false"/>
          <w:iCs w:val="false"/>
          <w:sz w:val="25"/>
          <w:szCs w:val="25"/>
        </w:rPr>
        <w:t xml:space="preserve">4-2　施策の体系（7つの柱）</w:t>
      </w:r>
    </w:p>
    <w:p>
      <w:pPr>
        <w:spacing w:after="80" w:before="50" w:line="320"/>
        <w:ind w:firstLine="200"/>
        <w:jc w:val="left"/>
      </w:pPr>
      <w:r>
        <w:rPr>
          <w:rFonts w:ascii="游ゴシック" w:cs="游ゴシック" w:eastAsia="游ゴシック" w:hAnsi="游ゴシック"/>
          <w:i w:val="false"/>
          <w:iCs w:val="false"/>
          <w:sz w:val="21"/>
          <w:szCs w:val="21"/>
        </w:rPr>
        <w:t xml:space="preserve">第9期計画は5つの基本方針により体系化されていました。第10期計画では、町がお示しになった「施策・事業の体系（案）」の章立てを基本として継承し、認知症基本法への対応として認知症施策のみを独立した柱に引き上げ、次の7つの柱により体系化します。第2回策定委員会の選択1のＣ案によるものです。第9期の基本方針、及び本素案Ver.1.20までの6つの基本目標との対応は下表のとおりです。</w:t>
      </w:r>
    </w:p>
    <w:p>
      <w:pPr>
        <w:spacing w:after="80" w:before="50" w:line="320"/>
        <w:ind w:firstLine="200"/>
        <w:jc w:val="left"/>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
        <w:gridCol w:w="90"/>
        <w:gridCol w:w="120"/>
      </w:tblGrid>
      <w:tr>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第9期計画の基本方針</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本素案Ver.1.20までの基本目標</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第10期計画の柱（Ｃ案）</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　健康づくりの推進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　健康づくりと介護予防の推進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柱1　健康づくりの推進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　高齢者が安心して暮らせる</w:t>
              <w:br/>
              <w:t xml:space="preserve">まちづくりの推進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2　高齢者が安心して暮らせる</w:t>
              <w:br/>
              <w:t xml:space="preserve">仕組みづくり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柱2　高齢者が安心して暮らせる</w:t>
              <w:br/>
              <w:t xml:space="preserve">まちづくりの推進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　地域生活を支援する取組の充実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　在宅生活の継続支援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柱3　地域生活を支援する</w:t>
              <w:br/>
              <w:t xml:space="preserve">取り組みの充実</w:t>
              <w:br/>
              <w:t xml:space="preserve">【家族介護者への支援を新設】</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　地域支援事業の充実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1・3・5に分割して継承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柱4　地域支援事業の充実</w:t>
              <w:br/>
              <w:t xml:space="preserve">【認知症施策を柱5へ移設】</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（基本方針3・4に含まれていた</w:t>
              <w:br/>
              <w:t xml:space="preserve">認知症施策）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6　認知症施策の総合的推進【新設】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柱5　認知症施策の推進</w:t>
              <w:br/>
              <w:t xml:space="preserve">【独立。認知症基本法第13条】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　介護給付・介護予防給付</w:t>
              <w:br/>
              <w:t xml:space="preserve">サービスの充実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4　介護サービスの質の確保と</w:t>
              <w:br/>
              <w:t xml:space="preserve">提供体制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柱6　介護給付・介護予防給付</w:t>
              <w:br/>
              <w:t xml:space="preserve">サービスの充実</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（基本方針4・5に含まれていた</w:t>
              <w:br/>
              <w:t xml:space="preserve">包括的支援・保険者機能）</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5　地域包括ケアシステムの深化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柱7　地域マネジメントに関する事項</w:t>
              <w:br/>
              <w:t xml:space="preserve">【乖離のモニタリング・</w:t>
              <w:br/>
              <w:t xml:space="preserve">住所地特例への対応を新設】</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2"/>
        <w:gridCol w:w="148"/>
      </w:tblGrid>
      <w:tr>
        <w:tc>
          <w:tcPr>
            <w:tcW w:type="dxa" w:w="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柱</w:t>
            </w:r>
          </w:p>
        </w:tc>
        <w:tc>
          <w:tcPr>
            <w:tcW w:type="dxa" w:w="14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内容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柱1．健康づくりの推進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生涯を通じた健康づくり、医療機関との連携、感染症対策、健康診査・保健指導を推進します。体格（BMI）区分別の分析により保健指導の対象を絞り込みます。（2節5項17事業）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柱2．高齢者が安心して</w:t>
              <w:br/>
              <w:t xml:space="preserve">　暮らせるまちづくりの推進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住みやすい環境整備、災害発生時の高齢者支援、防犯・交通安全・消費者被害の防止を推進します。転倒経験・転倒不安の高さを避難行動要支援者名簿・個別避難計画の優先度検討に活かします。（2節3項8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柱3．地域生活を支援する</w:t>
              <w:br/>
              <w:t xml:space="preserve">　取り組みの充実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移動支援3制度、見守り、社会参加に加え、家族介護者への支援を新たな項として立てます。家族介護教室・ピアサポート・レスパイト・介護離職の防止・支援が届いていない世帯の把握を行います。（2節4項25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柱4．地域支援事業の充実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予防・日常生活支援総合事業、包括的支援事業・任意事業を推進します。重層的支援体制整備事業との連動を加えます。交付金で評価されている介護予防ポイント事業・アウトリーチ等の取組を事業として立てます。（2節5項30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柱5．認知症施策の推進</w:t>
              <w:br/>
              <w:t xml:space="preserve">　【独立】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基本法第13条に基づく市町村認知症施策推進計画です。計画の策定手続、早期発見・早期対応、地域支援・ケア向上、サポーター活動促進、社会参加・権利利益の保護、認知症の日・認知症月間の6節で構成します。難聴高齢者の早期発見・早期介入を第21条（認知症の予防等）の対応事業として含みます。（6節8項28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柱6．介護給付・介護予防給付</w:t>
              <w:br/>
              <w:t xml:space="preserve">　サービスの充実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居宅サービス14種別、地域密着型サービス9種別、施設サービス3種別の見込量を確保します。必要利用定員総数は第9章9-1に定めます。（3節3項26事業）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柱7．地域マネジメントに</w:t>
              <w:br/>
              <w:t xml:space="preserve">　関する事項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サービスの質の向上、介護費用の適正化、人材確保、生産性向上、目標と指標の管理に加え、計画値と実績値の乖離のモニタリングと公表、町外施設利用・住所地特例への対応を新たに立てます。（9項9事業）</w:t>
            </w:r>
          </w:p>
        </w:tc>
      </w:tr>
    </w:tbl>
    <w:p>
      <w:pPr>
        <w:spacing w:after="100" w:before="200" w:line="320"/>
      </w:pPr>
      <w:r>
        <w:rPr>
          <w:rFonts w:ascii="游ゴシック" w:cs="游ゴシック" w:eastAsia="游ゴシック" w:hAnsi="游ゴシック"/>
          <w:b w:val="1"/>
          <w:bCs w:val="1"/>
          <w:i w:val="false"/>
          <w:iCs w:val="false"/>
          <w:sz w:val="25"/>
          <w:szCs w:val="25"/>
        </w:rPr>
        <w:t>4-3　計画の重点ポイント（4つの重点）</w:t>
      </w:r>
    </w:p>
    <w:p>
      <w:pPr>
        <w:spacing w:after="80" w:before="50" w:line="320"/>
        <w:ind w:firstLine="200"/>
        <w:jc w:val="left"/>
      </w:pPr>
      <w:r>
        <w:rPr>
          <w:rFonts w:ascii="游ゴシック" w:cs="游ゴシック" w:eastAsia="游ゴシック" w:hAnsi="游ゴシック"/>
          <w:i w:val="false"/>
          <w:iCs w:val="false"/>
          <w:sz w:val="21"/>
          <w:szCs w:val="21"/>
        </w:rPr>
        <w:t xml:space="preserve">第10期計画では、上記7つの柱に沿って施策を展開するにあたり、以下の4つの重点ポイントを設定します。これらは、川崎町固有の課題（後期高齢者の急増・町外施設依存・移動支援の再構築・認知症基本法対応・8050問題・家族介護者の高齢化）に直接対応するもの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66"/>
        <w:gridCol w:w="210"/>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重点</w:t>
            </w:r>
          </w:p>
        </w:tc>
        <w:tc>
          <w:tcPr>
            <w:tcW w:type="dxa" w:w="6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テーマ</w:t>
            </w:r>
          </w:p>
        </w:tc>
        <w:tc>
          <w:tcPr>
            <w:tcW w:type="dxa" w:w="2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対応する柱・関連施策</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重点1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認知症基本法対応</w:t>
              <w:br/>
              <w:t xml:space="preserve">と共生社会の実現</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柱5を独立させ、計画書では第6章として位置付け。本人ミーティングの新設・チームオレンジの活動の充実・認知症の日及び認知症月間の事業</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重点2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移動支援の再構築</w:t>
              <w:br/>
              <w:t xml:space="preserve">と地域格差是正</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柱3。タクシー助成終了後の社協・NPO移送＋デマンドバス＋町民バスの3制度を一体で運用し周知を強化。施設偏在への対応</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重点3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家族介護者支援</w:t>
              <w:br/>
              <w:t xml:space="preserve">と地域包括ケアの深化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柱3・柱4。家族介護者への支援を新設。介護者の高齢化対策は本人が男性の世帯、両立支援は本人が女性の世帯を主たる対象とする。包括センターの体制強化</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重点4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広域連携と</w:t>
              <w:br/>
              <w:t xml:space="preserve">サービス供給体制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柱1・柱6・柱7。みやぎ県南中核病院等との広域医療連携、住所地特例24人を含めた施設供給見込量、介護人材の確保</w:t>
            </w:r>
          </w:p>
        </w:tc>
      </w:tr>
    </w:tbl>
    <w:p>
      <w:pPr>
        <w:spacing w:after="100" w:before="200" w:line="320"/>
      </w:pPr>
      <w:r>
        <w:rPr>
          <w:rFonts w:ascii="游ゴシック" w:cs="游ゴシック" w:eastAsia="游ゴシック" w:hAnsi="游ゴシック"/>
          <w:b w:val="1"/>
          <w:bCs w:val="1"/>
          <w:i w:val="false"/>
          <w:iCs w:val="false"/>
          <w:sz w:val="25"/>
          <w:szCs w:val="25"/>
        </w:rPr>
        <w:t>4-4　計画の体系図</w:t>
      </w:r>
    </w:p>
    <w:p>
      <w:pPr>
        <w:spacing w:after="80" w:before="50" w:line="320"/>
        <w:ind w:firstLine="200"/>
        <w:jc w:val="left"/>
      </w:pPr>
      <w:r>
        <w:rPr>
          <w:rFonts w:ascii="游ゴシック" w:cs="游ゴシック" w:eastAsia="游ゴシック" w:hAnsi="游ゴシック"/>
          <w:i w:val="false"/>
          <w:iCs w:val="false"/>
          <w:sz w:val="21"/>
          <w:szCs w:val="21"/>
        </w:rPr>
        <w:t xml:space="preserve">本計画の基本理念・施策の体系は以下のとおりです。柱ごとの節・項・事業の全体像は、別冊「施策・事業の体系（Ｃ案）」（全7章17節37項143事業）に収録しています。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p>
            <w:pPr>
              <w:spacing w:after="100" w:before="100"/>
              <w:jc w:val="center"/>
            </w:pPr>
            <w:r>
              <w:rPr>
                <w:rFonts w:ascii="游ゴシック" w:cs="游ゴシック" w:eastAsia="游ゴシック" w:hAnsi="游ゴシック"/>
                <w:i w:val="false"/>
                <w:iCs w:val="false"/>
                <w:sz w:val="22"/>
                <w:szCs w:val="22"/>
              </w:rPr>
              <w:t xml:space="preserve">【基本理念】誰もが健やかに暮らせるまちづくり</w:t>
            </w:r>
          </w:p>
        </w:tc>
      </w:tr>
      <w:tr>
        <w:tc>
          <w:tcPr/>
          <w:p>
            <w:pPr>
              <w:spacing w:after="80" w:before="80"/>
              <w:jc w:val="center"/>
            </w:pPr>
            <w:r>
              <w:rPr>
                <w:rFonts w:ascii="游ゴシック" w:cs="游ゴシック" w:eastAsia="游ゴシック" w:hAnsi="游ゴシック"/>
                <w:i/>
                <w:iCs/>
                <w:sz w:val="20"/>
                <w:szCs w:val="20"/>
              </w:rPr>
              <w:t xml:space="preserve">〜 認知症になっても誰もが自分らしく暮らせる地域共生社会の実現 〜</w:t>
            </w:r>
          </w:p>
        </w:tc>
      </w:tr>
      <w:tr>
        <w:tc>
          <w:tcPr/>
          <w:p>
            <w:pPr>
              <w:spacing w:after="80" w:before="80"/>
              <w:jc w:val="center"/>
            </w:pPr>
            <w:r>
              <w:rPr>
                <w:rFonts w:ascii="游ゴシック" w:cs="游ゴシック" w:eastAsia="游ゴシック" w:hAnsi="游ゴシック"/>
                <w:i/>
                <w:iCs/>
                <w:sz w:val="20"/>
                <w:szCs w:val="20"/>
              </w:rPr>
              <w:t xml:space="preserve">↓</w:t>
            </w:r>
          </w:p>
        </w:tc>
      </w:tr>
      <w:tr>
        <w:tc>
          <w:tcPr/>
          <w:p>
            <w:pPr>
              <w:spacing w:after="80" w:before="80"/>
              <w:jc w:val="center"/>
            </w:pPr>
            <w:r>
              <w:rPr>
                <w:rFonts w:ascii="游ゴシック" w:cs="游ゴシック" w:eastAsia="游ゴシック" w:hAnsi="游ゴシック"/>
                <w:i/>
                <w:iCs/>
                <w:sz w:val="20"/>
                <w:szCs w:val="20"/>
              </w:rPr>
              <w:t xml:space="preserve">【7つの柱】（全7章17節37項143事業）</w:t>
            </w:r>
          </w:p>
        </w:tc>
      </w:tr>
    </w:tbl>
    <w:p>
      <w:pPr>
        <w:spacing w:after="80" w:before="80"/>
      </w:pPr>
      <w:r>
        <w:rPr>
          <w:rFonts w:ascii="游ゴシック" w:cs="游ゴシック" w:eastAsia="游ゴシック" w:hAnsi="游ゴシック"/>
          <w:i w:val="false"/>
          <w:iCs w:val="false"/>
          <w:sz w:val="21"/>
          <w:szCs w:val="21"/>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180"/>
        <w:gridCol w:w="96"/>
      </w:tblGrid>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22"/>
                <w:szCs w:val="22"/>
              </w:rPr>
              <w:t xml:space="preserve">柱1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1"/>
                <w:bCs w:val="1"/>
                <w:i w:val="false"/>
                <w:iCs w:val="false"/>
                <w:sz w:val="18"/>
                <w:szCs w:val="18"/>
              </w:rPr>
              <w:t xml:space="preserve">健康づくりの推進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 第5章 5-1</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2"/>
                <w:szCs w:val="22"/>
              </w:rPr>
              <w:t xml:space="preserve">柱2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高齢者が安心して暮らせるまちづくりの推進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第5章 5-2</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2"/>
                <w:szCs w:val="22"/>
              </w:rPr>
              <w:t xml:space="preserve">柱3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地域生活を支援する取り組みの充実【家族介護者への支援を新設】</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第5章 5-2・5-3</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2"/>
                <w:szCs w:val="22"/>
              </w:rPr>
              <w:t xml:space="preserve">柱4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地域支援事業の充実</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第5章 5-1・5-5／第9章 9-1</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2"/>
                <w:szCs w:val="22"/>
              </w:rPr>
              <w:t xml:space="preserve">柱5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認知症施策の推進【独立】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第6章</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2"/>
                <w:szCs w:val="22"/>
              </w:rPr>
              <w:t xml:space="preserve">柱6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介護給付・介護予防給付サービスの充実</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第7章／第9章 9-1</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2"/>
                <w:szCs w:val="22"/>
              </w:rPr>
              <w:t xml:space="preserve">柱7</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地域マネジメントに関する事項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第7章／第8章／第10章</w:t>
            </w:r>
          </w:p>
        </w:tc>
      </w:tr>
    </w:tbl>
    <w:p>
      <w:pPr>
        <w:pageBreakBefore/>
        <w:spacing w:after="0" w:before="0" w:line="240"/>
      </w:pPr>
      <w:r>
        <w:rPr>
          <w:rFonts w:ascii="游ゴシック" w:cs="游ゴシック" w:eastAsia="游ゴシック" w:hAnsi="游ゴシック"/>
          <w:i w:val="false"/>
          <w:iCs w:val="false"/>
          <w:sz w:val="21"/>
          <w:szCs w:val="21"/>
        </w:rPr>
        <w:t xml:space="preserve"/>
      </w:r>
    </w:p>
    <w:p>
      <w:pPr>
        <w:spacing w:after="0" w:before="240" w:line="320"/>
      </w:pPr>
      <w:r>
        <w:rPr>
          <w:rFonts w:ascii="游ゴシック" w:cs="游ゴシック" w:eastAsia="游ゴシック" w:hAnsi="游ゴシック"/>
          <w:b w:val="1"/>
          <w:bCs w:val="1"/>
          <w:i w:val="false"/>
          <w:iCs w:val="false"/>
          <w:sz w:val="30"/>
          <w:szCs w:val="30"/>
        </w:rPr>
        <w:t xml:space="preserve">第 5 章</w:t>
      </w:r>
    </w:p>
    <w:p>
      <w:pPr>
        <w:spacing w:after="140" w:before="0" w:line="320"/>
      </w:pPr>
      <w:r>
        <w:rPr>
          <w:rFonts w:ascii="游ゴシック" w:cs="游ゴシック" w:eastAsia="游ゴシック" w:hAnsi="游ゴシック"/>
          <w:b w:val="1"/>
          <w:bCs w:val="1"/>
          <w:i w:val="false"/>
          <w:iCs w:val="false"/>
          <w:sz w:val="30"/>
          <w:szCs w:val="30"/>
        </w:rPr>
        <w:t xml:space="preserve">施策の展開</w:t>
      </w:r>
    </w:p>
    <w:p>
      <w:pPr>
        <w:spacing w:after="200" w:before="200"/>
      </w:pPr>
      <w:r>
        <w:rPr>
          <w:rFonts w:ascii="游ゴシック" w:cs="游ゴシック" w:eastAsia="游ゴシック" w:hAnsi="游ゴシック"/>
          <w:i w:val="false"/>
          <w:iCs w:val="false"/>
          <w:sz w:val="21"/>
          <w:szCs w:val="21"/>
        </w:rPr>
        <w:t xml:space="preserve"/>
      </w:r>
    </w:p>
    <w:p>
      <w:pPr>
        <w:spacing w:after="80" w:before="50" w:line="320"/>
        <w:ind w:firstLine="200"/>
        <w:jc w:val="left"/>
      </w:pPr>
      <w:r>
        <w:rPr>
          <w:rFonts w:ascii="游ゴシック" w:cs="游ゴシック" w:eastAsia="游ゴシック" w:hAnsi="游ゴシック"/>
          <w:i w:val="false"/>
          <w:iCs w:val="false"/>
          <w:sz w:val="21"/>
          <w:szCs w:val="21"/>
        </w:rPr>
        <w:t xml:space="preserve">本章では、第4章で示した7つの柱のうち、認知症施策（柱5）と地域マネジメント（柱7）を除く5つの柱の施策を、施策の方向性・事業の一覧・成果指標（KPI）の3層で整理します。事業は、別冊「施策・事業の体系（Ｃ案）」の節・項の単位で掲げており、本章に106事業を収めています。認知症施策（柱5・28事業）は第6章、地域マネジメント（柱7・9事業）は第8章に掲げます。区分の「継続」は第9期から引き続き実施する事業、「拡充」は内容を広げる事業、「新規」は第10期で新たに立てる事業、「再掲」は他の節に掲げた事業を参照のために再び掲げたものです。</w:t>
      </w:r>
    </w:p>
    <w:p>
      <w:pPr>
        <w:spacing w:after="80" w:before="80" w:line="280"/>
        <w:ind w:left="288"/>
      </w:pPr>
      <w:r>
        <w:rPr>
          <w:rFonts w:ascii="游ゴシック" w:cs="游ゴシック" w:eastAsia="游ゴシック" w:hAnsi="游ゴシック"/>
          <w:i/>
          <w:iCs/>
          <w:sz w:val="18"/>
          <w:szCs w:val="18"/>
        </w:rPr>
        <w:t xml:space="preserve">※ 各施策の住民ニーズ根拠は、令和8年6〜7月に実施した2調査（一般高齢者576件・要支援要介護認定者142件）の結果によります。調査結果の全体像は第2章2-6を参照してください。各事業の根拠・所管・KPI候補は、別冊の管理表「第10期 施策・事業の統合体系表」に1事業ごとに収めています。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6"/>
        <w:gridCol w:w="102"/>
        <w:gridCol w:w="102"/>
      </w:tblGrid>
      <w:tr>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第5章の節</w:t>
            </w:r>
          </w:p>
        </w:tc>
        <w:tc>
          <w:tcPr>
            <w:tcW w:type="dxa" w:w="10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対応する柱</w:t>
            </w:r>
          </w:p>
        </w:tc>
        <w:tc>
          <w:tcPr>
            <w:tcW w:type="dxa" w:w="10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Ver.2.0での扱い</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5-1　健康づくり・介護予防の推進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柱1・柱4（一般介護予防事業）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柱1と柱4に分けて節を立て直す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5-2　高齢者が安心して暮らせるまちづくり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柱2・柱3（生活支援・見守り）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柱2と柱3に分けて節を立て直す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5-3　在宅生活継続の支援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柱3（家族介護者への支援）・柱1（広域医療連携）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家族介護者への支援を柱3の項として独立させる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5-4　介護サービスの質の確保と人材確保</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柱6・柱7</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柱6と柱7に分ける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5-5　地域包括ケアシステムの深化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柱4（包括的支援事業）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柱4の節として整理する</w:t>
            </w:r>
          </w:p>
        </w:tc>
      </w:tr>
    </w:tbl>
    <w:p>
      <w:pPr>
        <w:spacing w:after="80" w:before="80" w:line="280"/>
        <w:ind w:left="288"/>
      </w:pPr>
      <w:r>
        <w:rPr>
          <w:rFonts w:ascii="游ゴシック" w:cs="游ゴシック" w:eastAsia="游ゴシック" w:hAnsi="游ゴシック"/>
          <w:i/>
          <w:iCs/>
          <w:sz w:val="18"/>
          <w:szCs w:val="18"/>
        </w:rPr>
        <w:t xml:space="preserve">⚠ 本表の組み替えは本版（Ver.2.0）で行いました。第9期の6つの基本方針・本素案Ver.1.25までの6つの基本目標と、第10期の7つの柱との対応は第4章の表をご参照ください。体系（Ｃ案）で新たに立てた事業23件（家族介護者への支援6件・認知症施策13件・町外医療機関との広域連携・重層的支援体制整備事業との連動・計画値と実績値の乖離のモニタリング・住所地特例への対応）は、本章・第6章・第8章の該当する節に「新規」として掲げています。</w:t>
      </w:r>
    </w:p>
    <w:p>
      <w:pPr>
        <w:spacing w:after="100" w:before="200" w:line="320"/>
      </w:pPr>
      <w:r>
        <w:rPr>
          <w:rFonts w:ascii="游ゴシック" w:cs="游ゴシック" w:eastAsia="游ゴシック" w:hAnsi="游ゴシック"/>
          <w:b w:val="1"/>
          <w:bCs w:val="1"/>
          <w:i w:val="false"/>
          <w:iCs w:val="false"/>
          <w:sz w:val="25"/>
          <w:szCs w:val="25"/>
        </w:rPr>
        <w:t xml:space="preserve">5-1　健康づくりの推進（柱1）</w:t>
      </w:r>
    </w:p>
    <w:p>
      <w:pPr>
        <w:spacing w:after="80" w:before="180" w:line="300"/>
      </w:pPr>
      <w:r>
        <w:rPr>
          <w:rFonts w:ascii="游ゴシック" w:cs="游ゴシック" w:eastAsia="游ゴシック" w:hAnsi="游ゴシック"/>
          <w:b w:val="1"/>
          <w:bCs w:val="1"/>
          <w:i w:val="false"/>
          <w:iCs w:val="false"/>
          <w:sz w:val="22"/>
          <w:szCs w:val="22"/>
        </w:rPr>
        <w:t xml:space="preserve">　▌ 施策の方向性</w:t>
      </w:r>
    </w:p>
    <w:p>
      <w:pPr>
        <w:spacing w:after="80" w:before="50" w:line="320"/>
        <w:ind w:firstLine="200"/>
        <w:jc w:val="left"/>
      </w:pPr>
      <w:r>
        <w:rPr>
          <w:rFonts w:ascii="游ゴシック" w:cs="游ゴシック" w:eastAsia="游ゴシック" w:hAnsi="游ゴシック"/>
          <w:i w:val="false"/>
          <w:iCs w:val="false"/>
          <w:sz w:val="21"/>
          <w:szCs w:val="21"/>
        </w:rPr>
        <w:t xml:space="preserve">高齢者一人ひとりが生涯にわたって健やかに暮らし続けることができるよう、健康づくり・フレイル予防・通いの場の充実・口腔と栄養の支援を一体的に推進します。</w:t>
      </w:r>
    </w:p>
    <w:p>
      <w:pPr>
        <w:spacing w:after="80" w:before="50" w:line="320"/>
        <w:ind w:firstLine="200"/>
        <w:jc w:val="left"/>
      </w:pPr>
      <w:r>
        <w:rPr>
          <w:rFonts w:ascii="游ゴシック" w:cs="游ゴシック" w:eastAsia="游ゴシック" w:hAnsi="游ゴシック"/>
          <w:i w:val="false"/>
          <w:iCs w:val="false"/>
          <w:sz w:val="21"/>
          <w:szCs w:val="21"/>
        </w:rPr>
        <w:t xml:space="preserve">川崎町では既に介護予防サロン84名、スマイルサポーター40名、レクリエーションサポーター29名等のユニバーサルサポーター制度を運用しており、町内の通いの場活動を住民主体で展開する基盤が整っています。第10期では、この基盤を活かし、後期高齢者75歳以上1,675人の増加局面を見据えた介護予防の対象拡大と質の向上を図ります。特に、独居高齢者や中山間地域居住の方が孤立せず通いの場に参加できる移動支援との連動が課題です。今回の調査では、通いの場に「参加していない」が84.1％（n=439）である一方、新たなグループ活動に参加者として参加したいとの回答が55.2％（n=543）あり、参加意向と実際の参加との間に開きがあることが確認されました。また、趣味がある人の75.3％（n=340・256件）が生きがいもあると回答しており（趣味が思いつかない人では14.5％・n=166・24件）、趣味活動を通じた通いの場づくりが介護予防と生きがいづくりの双方に資すると考えられます。</w:t>
      </w:r>
    </w:p>
    <w:p>
      <w:pPr>
        <w:spacing w:after="80" w:before="180" w:line="300"/>
      </w:pPr>
      <w:r>
        <w:rPr>
          <w:rFonts w:ascii="游ゴシック" w:cs="游ゴシック" w:eastAsia="游ゴシック" w:hAnsi="游ゴシック"/>
          <w:b w:val="1"/>
          <w:bCs w:val="1"/>
          <w:i w:val="false"/>
          <w:iCs w:val="false"/>
          <w:sz w:val="22"/>
          <w:szCs w:val="22"/>
        </w:rPr>
        <w:t xml:space="preserve">　▌ 第１節 生涯を通じた健康づくりの推進（3項9事業）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8"/>
        <w:gridCol w:w="184"/>
        <w:gridCol w:w="32"/>
        <w:gridCol w:w="96"/>
      </w:tblGrid>
      <w:tr>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項</w:t>
            </w:r>
          </w:p>
        </w:tc>
        <w:tc>
          <w:tcPr>
            <w:tcW w:type="dxa" w:w="1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w:t>
            </w:r>
          </w:p>
        </w:tc>
        <w:tc>
          <w:tcPr>
            <w:tcW w:type="dxa" w:w="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所管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１　生涯を通じた健康づくりの推進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（１）健康づくりのための正しい知識の普及・啓発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（２）生活習慣病対策の充実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（３）住民との協働による健康づくりの推進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保健福祉課・社会福祉協議会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（４）健康相談の充実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（５）健康づくり団体などの育成・支援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２　医療機関との連携の推進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（１）連携による医療内容の充実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保健福祉課・国保川崎病院</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（２）かかりつけ医制度の普及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保健福祉課・国保川崎病院</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（３）町外医療機関との広域連携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保健福祉課・国保川崎病院</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３　感染症対策の推進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（１）高齢者の感染症予防と発生時の対応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bl>
    <w:p>
      <w:pPr>
        <w:spacing w:after="80" w:before="180" w:line="300"/>
      </w:pPr>
      <w:r>
        <w:rPr>
          <w:rFonts w:ascii="游ゴシック" w:cs="游ゴシック" w:eastAsia="游ゴシック" w:hAnsi="游ゴシック"/>
          <w:b w:val="1"/>
          <w:bCs w:val="1"/>
          <w:i w:val="false"/>
          <w:iCs w:val="false"/>
          <w:sz w:val="22"/>
          <w:szCs w:val="22"/>
        </w:rPr>
        <w:t xml:space="preserve">　▌ 第２節 健康診査・保健指導等の充実（2項8事業）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8"/>
        <w:gridCol w:w="184"/>
        <w:gridCol w:w="32"/>
        <w:gridCol w:w="96"/>
      </w:tblGrid>
      <w:tr>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項</w:t>
            </w:r>
          </w:p>
        </w:tc>
        <w:tc>
          <w:tcPr>
            <w:tcW w:type="dxa" w:w="1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w:t>
            </w:r>
          </w:p>
        </w:tc>
        <w:tc>
          <w:tcPr>
            <w:tcW w:type="dxa" w:w="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所管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１　健康診査・保健指導等の充実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（１）特定健康診査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（２）特定保健指導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（３）各種がん検診の実施</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２　各種保健事業の推進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（１）各種検診の受診勧奨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（２）生活習慣病重症化予防事業の推進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（３）集団健康教育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（４）総合健康相談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（５）こころの健康づくりの推進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bl>
    <w:p>
      <w:pPr>
        <w:spacing w:after="80" w:before="180" w:line="300"/>
      </w:pPr>
      <w:r>
        <w:rPr>
          <w:rFonts w:ascii="游ゴシック" w:cs="游ゴシック" w:eastAsia="游ゴシック" w:hAnsi="游ゴシック"/>
          <w:b w:val="1"/>
          <w:bCs w:val="1"/>
          <w:i w:val="false"/>
          <w:iCs w:val="false"/>
          <w:sz w:val="22"/>
          <w:szCs w:val="22"/>
        </w:rPr>
        <w:t xml:space="preserve">　▌ 新たに立てる事業・広げる事業（新規1件・拡充2件）</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96"/>
        <w:gridCol w:w="144"/>
        <w:gridCol w:w="136"/>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w:t>
            </w:r>
          </w:p>
        </w:tc>
        <w:tc>
          <w:tcPr>
            <w:tcW w:type="dxa" w:w="14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根拠となる事実</w:t>
            </w:r>
          </w:p>
        </w:tc>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第10期での内容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（２）生活習慣病対策の充実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調：体格別にみると肥満層の高血圧は66.0％で標準層50.2％を大きく上回る（n=141）</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体格（BMI）区分により保健指導の対象を絞り込む。素案2-6に分析を新設</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（３）町外医療機関との広域連携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実：専門医療・夜間救急はみやぎ県南中核病院・刈田綜合病院への依存が大きい</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体系（案）にない施策。素案5-3「広域医療連携【重点】」を移設。通院の移動・付添に係る家族負担が大きく、移動支援（第3章）と一体で検討する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（５）こころの健康づくりの推進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調：この1か月に気分が沈むことがあった34.7％・物事に興味がわかない25.0％（n=541）</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趣味がある人の75.3％が生きがいもあると回答（趣味が思いつかない人は14.5％）。通いの場・趣味活動との連動が有効</w:t>
            </w:r>
          </w:p>
        </w:tc>
      </w:tr>
    </w:tbl>
    <w:p>
      <w:pPr>
        <w:spacing w:after="80" w:before="180" w:line="300"/>
      </w:pPr>
      <w:r>
        <w:rPr>
          <w:rFonts w:ascii="游ゴシック" w:cs="游ゴシック" w:eastAsia="游ゴシック" w:hAnsi="游ゴシック"/>
          <w:b w:val="1"/>
          <w:bCs w:val="1"/>
          <w:i w:val="false"/>
          <w:iCs w:val="false"/>
          <w:sz w:val="22"/>
          <w:szCs w:val="22"/>
        </w:rPr>
        <w:t xml:space="preserve">　▌ 成果指標（KPI）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指標</w:t>
            </w:r>
          </w:p>
        </w:tc>
        <w:tc>
          <w:tcPr>
            <w:tcW w:type="pct"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現状値</w:t>
            </w:r>
          </w:p>
        </w:tc>
        <w:tc>
          <w:tcPr>
            <w:tcW w:type="pct"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目標値（R11）</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出典・備考</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通いの場参加率（65歳以上）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15.9％（n=439）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【委員会協議】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一般高齢者調査</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一般介護予防事業 年間実施回数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現状＋10%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町実績</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特定健診受診率（65歳以上）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【委員会協議】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健康かわさき21との整合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ユニバーサルサポーター活動回数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現状維持以上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町独自指標</w:t>
            </w:r>
          </w:p>
        </w:tc>
      </w:tr>
    </w:tbl>
    <w:p>
      <w:pPr>
        <w:spacing w:after="100" w:before="200" w:line="320"/>
      </w:pPr>
      <w:r>
        <w:rPr>
          <w:rFonts w:ascii="游ゴシック" w:cs="游ゴシック" w:eastAsia="游ゴシック" w:hAnsi="游ゴシック"/>
          <w:b w:val="1"/>
          <w:bCs w:val="1"/>
          <w:i w:val="false"/>
          <w:iCs w:val="false"/>
          <w:sz w:val="25"/>
          <w:szCs w:val="25"/>
        </w:rPr>
        <w:t xml:space="preserve">5-2　高齢者が安心して暮らせるまちづくりの推進（柱2）</w:t>
      </w:r>
    </w:p>
    <w:p>
      <w:pPr>
        <w:spacing w:after="80" w:before="180" w:line="300"/>
      </w:pPr>
      <w:r>
        <w:rPr>
          <w:rFonts w:ascii="游ゴシック" w:cs="游ゴシック" w:eastAsia="游ゴシック" w:hAnsi="游ゴシック"/>
          <w:b w:val="1"/>
          <w:bCs w:val="1"/>
          <w:i w:val="false"/>
          <w:iCs w:val="false"/>
          <w:sz w:val="22"/>
          <w:szCs w:val="22"/>
        </w:rPr>
        <w:t xml:space="preserve">　▌ 施策の方向性</w:t>
      </w:r>
    </w:p>
    <w:p>
      <w:pPr>
        <w:spacing w:after="80" w:before="50" w:line="320"/>
        <w:ind w:firstLine="200"/>
        <w:jc w:val="left"/>
      </w:pPr>
      <w:r>
        <w:rPr>
          <w:rFonts w:ascii="游ゴシック" w:cs="游ゴシック" w:eastAsia="游ゴシック" w:hAnsi="游ゴシック"/>
          <w:i w:val="false"/>
          <w:iCs w:val="false"/>
          <w:sz w:val="21"/>
          <w:szCs w:val="21"/>
        </w:rPr>
        <w:t xml:space="preserve">独居高齢者・高齢者世帯・老老介護世帯の増加、未婚の子と高齢親が同居する8050世帯の課題を踏まえ、見守り・地域支え合い・移動支援・住まいの確保を総合的に推進します。</w:t>
      </w:r>
    </w:p>
    <w:p>
      <w:pPr>
        <w:spacing w:after="80" w:before="50" w:line="320"/>
        <w:ind w:firstLine="200"/>
        <w:jc w:val="left"/>
      </w:pPr>
      <w:r>
        <w:rPr>
          <w:rFonts w:ascii="游ゴシック" w:cs="游ゴシック" w:eastAsia="游ゴシック" w:hAnsi="游ゴシック"/>
          <w:i w:val="false"/>
          <w:iCs w:val="false"/>
          <w:sz w:val="21"/>
          <w:szCs w:val="21"/>
        </w:rPr>
        <w:t xml:space="preserve">特に移動支援は、令和7年3月で従来の高齢者外出タクシー利用助成が終了し、現在は社協・NPO法人の福祉移送サービス、デマンドバス、町民バスの3層構造に移行しています。所管が地域振興課・町民生活課・社協・NPOと分かれているため、住民への分かりやすい周知と利用情報の一元化が第10期の重要課題です。今回の調査では、外出時の移動手段が「自動車（自分で運転）」74.1％に対し「路線バス」5.4％・「タクシー」3.2％（n=536）と自動車への依存が大きく、外出を控えている方が19.1％（n=540）、その理由として「交通手段がない」が19.8％（n=101）でした。また、転倒への不安が「とても」大きい層では外出を控えている割合が48.1％（n=77・37件）に達しており、移動支援は転倒予防と一体で検討する必要があります。</w:t>
      </w:r>
    </w:p>
    <w:p>
      <w:pPr>
        <w:spacing w:after="80" w:before="50" w:line="320"/>
        <w:ind w:firstLine="200"/>
        <w:jc w:val="left"/>
      </w:pPr>
      <w:r>
        <w:rPr>
          <w:rFonts w:ascii="游ゴシック" w:cs="游ゴシック" w:eastAsia="游ゴシック" w:hAnsi="游ゴシック"/>
          <w:i w:val="false"/>
          <w:iCs w:val="false"/>
          <w:sz w:val="21"/>
          <w:szCs w:val="21"/>
        </w:rPr>
        <w:t xml:space="preserve">また、ふれあいネットワーク（活動員15名・協力員130名）による地域見守り、ユニバーサルサポーター（傾聴24名等）による傾聴・声かけ活動、緊急通報装置の運用等を組み合わせ、独居高齢者・高齢者世帯を見守る重層的な体制を維持・強化します。</w:t>
      </w:r>
    </w:p>
    <w:p>
      <w:pPr>
        <w:spacing w:after="80" w:before="180" w:line="300"/>
      </w:pPr>
      <w:r>
        <w:rPr>
          <w:rFonts w:ascii="游ゴシック" w:cs="游ゴシック" w:eastAsia="游ゴシック" w:hAnsi="游ゴシック"/>
          <w:b w:val="1"/>
          <w:bCs w:val="1"/>
          <w:i w:val="false"/>
          <w:iCs w:val="false"/>
          <w:sz w:val="22"/>
          <w:szCs w:val="22"/>
        </w:rPr>
        <w:t xml:space="preserve">　▌ 第１節 住みやすい環境整備の推進（1項3事業）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8"/>
        <w:gridCol w:w="184"/>
        <w:gridCol w:w="32"/>
        <w:gridCol w:w="96"/>
      </w:tblGrid>
      <w:tr>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項</w:t>
            </w:r>
          </w:p>
        </w:tc>
        <w:tc>
          <w:tcPr>
            <w:tcW w:type="dxa" w:w="1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w:t>
            </w:r>
          </w:p>
        </w:tc>
        <w:tc>
          <w:tcPr>
            <w:tcW w:type="dxa" w:w="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所管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１　住みやすい環境整備の推進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（１）歩道のバリアフリー化の推進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建設担当課【町確認】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（２）ユニバーサルデザインに配慮した公共施設等の整備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建設担当課【町確認】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（３）高齢者が生活しやすい住居環境の整備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bl>
    <w:p>
      <w:pPr>
        <w:spacing w:after="80" w:before="180" w:line="300"/>
      </w:pPr>
      <w:r>
        <w:rPr>
          <w:rFonts w:ascii="游ゴシック" w:cs="游ゴシック" w:eastAsia="游ゴシック" w:hAnsi="游ゴシック"/>
          <w:b w:val="1"/>
          <w:bCs w:val="1"/>
          <w:i w:val="false"/>
          <w:iCs w:val="false"/>
          <w:sz w:val="22"/>
          <w:szCs w:val="22"/>
        </w:rPr>
        <w:t xml:space="preserve">　▌ 第２節 災害発生時の対策、防犯・事故防止の推進（2項5事業）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8"/>
        <w:gridCol w:w="184"/>
        <w:gridCol w:w="32"/>
        <w:gridCol w:w="96"/>
      </w:tblGrid>
      <w:tr>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項</w:t>
            </w:r>
          </w:p>
        </w:tc>
        <w:tc>
          <w:tcPr>
            <w:tcW w:type="dxa" w:w="1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w:t>
            </w:r>
          </w:p>
        </w:tc>
        <w:tc>
          <w:tcPr>
            <w:tcW w:type="dxa" w:w="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所管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１　災害発生時の高齢者支援対策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（１）避難行動要支援者マニュアルの作成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総務担当課【町確認】・保健福祉課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（２）地域の防火・防災対策の推進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総務担当課【町確認】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２　防犯・事故防止の推進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（１）防犯対策の充実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町民生活課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（２）交通安全対策の推進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町民生活課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（３）消費者被害の防止と救済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町民生活課</w:t>
            </w:r>
          </w:p>
        </w:tc>
      </w:tr>
    </w:tbl>
    <w:p>
      <w:pPr>
        <w:spacing w:after="80" w:before="180" w:line="300"/>
      </w:pPr>
      <w:r>
        <w:rPr>
          <w:rFonts w:ascii="游ゴシック" w:cs="游ゴシック" w:eastAsia="游ゴシック" w:hAnsi="游ゴシック"/>
          <w:b w:val="1"/>
          <w:bCs w:val="1"/>
          <w:i w:val="false"/>
          <w:iCs w:val="false"/>
          <w:sz w:val="22"/>
          <w:szCs w:val="22"/>
        </w:rPr>
        <w:t xml:space="preserve">　▌ 新たに立てる事業・広げる事業（新規0件・拡充1件）</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96"/>
        <w:gridCol w:w="144"/>
        <w:gridCol w:w="136"/>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w:t>
            </w:r>
          </w:p>
        </w:tc>
        <w:tc>
          <w:tcPr>
            <w:tcW w:type="dxa" w:w="14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根拠となる事実</w:t>
            </w:r>
          </w:p>
        </w:tc>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第10期での内容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（１）避難行動要支援者マニュアルの作成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調：転倒経験33.6％（n=572）・転倒不安51.9％（n=543）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転倒経験・転倒不安の高さは避難行動要支援者名簿・個別避難計画の優先度検討に資する</w:t>
            </w:r>
          </w:p>
        </w:tc>
      </w:tr>
    </w:tbl>
    <w:p>
      <w:pPr>
        <w:spacing w:after="80" w:before="180" w:line="300"/>
      </w:pPr>
      <w:r>
        <w:rPr>
          <w:rFonts w:ascii="游ゴシック" w:cs="游ゴシック" w:eastAsia="游ゴシック" w:hAnsi="游ゴシック"/>
          <w:b w:val="1"/>
          <w:bCs w:val="1"/>
          <w:i w:val="false"/>
          <w:iCs w:val="false"/>
          <w:sz w:val="22"/>
          <w:szCs w:val="22"/>
        </w:rPr>
        <w:t xml:space="preserve">　▌ 成果指標（KPI）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指標</w:t>
            </w:r>
          </w:p>
        </w:tc>
        <w:tc>
          <w:tcPr>
            <w:tcW w:type="pct"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現状値</w:t>
            </w:r>
          </w:p>
        </w:tc>
        <w:tc>
          <w:tcPr>
            <w:tcW w:type="pct"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目標値（R11）</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出典・備考</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ふれあいネットワーク活動員数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145名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現状維持</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活動員15＋協力員130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緊急通報装置 設置件数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【委員会協議】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町実績</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移動支援3制度の周知度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―（本調査に該当設問なし）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【委員会協議】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一般高齢者調査</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外出に困っている高齢者の割合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19.1％（外出を控えている・n=540）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削減</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一般高齢者調査</w:t>
            </w:r>
          </w:p>
        </w:tc>
      </w:tr>
    </w:tbl>
    <w:p>
      <w:pPr>
        <w:spacing w:after="100" w:before="200" w:line="320"/>
      </w:pPr>
      <w:r>
        <w:rPr>
          <w:rFonts w:ascii="游ゴシック" w:cs="游ゴシック" w:eastAsia="游ゴシック" w:hAnsi="游ゴシック"/>
          <w:b w:val="1"/>
          <w:bCs w:val="1"/>
          <w:i w:val="false"/>
          <w:iCs w:val="false"/>
          <w:sz w:val="25"/>
          <w:szCs w:val="25"/>
        </w:rPr>
        <w:t xml:space="preserve">5-3　地域生活を支援する取り組みの充実（柱3）</w:t>
      </w:r>
    </w:p>
    <w:p>
      <w:pPr>
        <w:spacing w:after="80" w:before="180" w:line="300"/>
      </w:pPr>
      <w:r>
        <w:rPr>
          <w:rFonts w:ascii="游ゴシック" w:cs="游ゴシック" w:eastAsia="游ゴシック" w:hAnsi="游ゴシック"/>
          <w:b w:val="1"/>
          <w:bCs w:val="1"/>
          <w:i w:val="false"/>
          <w:iCs w:val="false"/>
          <w:sz w:val="22"/>
          <w:szCs w:val="22"/>
        </w:rPr>
        <w:t xml:space="preserve">　▌ 施策の方向性</w:t>
      </w:r>
    </w:p>
    <w:p>
      <w:pPr>
        <w:spacing w:after="80" w:before="50" w:line="320"/>
        <w:ind w:firstLine="200"/>
        <w:jc w:val="left"/>
      </w:pPr>
      <w:r>
        <w:rPr>
          <w:rFonts w:ascii="游ゴシック" w:cs="游ゴシック" w:eastAsia="游ゴシック" w:hAnsi="游ゴシック"/>
          <w:i w:val="false"/>
          <w:iCs w:val="false"/>
          <w:sz w:val="21"/>
          <w:szCs w:val="21"/>
        </w:rPr>
        <w:t xml:space="preserve">住み慣れた自宅・地域で生活を継続したいという高齢者と家族の希望に応えるため、在宅医療・介護連携、家族介護者支援、レスパイト等を充実させます。特に川崎町では、施設サービス利用者134人のうち77.6％が要介護3以上の重度層であることを踏まえ、軽度〜中度の認定者については在宅生活継続が可能な支援体制を整備します。今回の在宅介護実態調査では、施設等への入所を申込済みが33.8％（47件）、検討中が14.4％で、合わせて48.2％（n=139）でした。ただしこの設問の回答者は68.1％が主な介護者となっている家族・親族であり、本人が回答したのは26.1％です。本人が回答した36件に限れば申込済みは13.9％（5件）であり、この結果は世帯としての検討状況を示すものであって、本人の意思として扱うことはできません。申込みの有無は、要介護度の重さよりも世帯の状況（単身かどうか・家族介護者がいるかどうか）と強く関連しており、家族・親族の介護が「ない」層では56.9％（n=65・37件）が申込済み（介護が「ある」層は13.5％・n=74・10件）でした。さらに、家族の介護もなく介護保険サービスも利用していない世帯が50件（138件中36.2％）確認されており、在宅生活の継続支援が最も届いていない可能性のある層として個別の状況確認が必要です。</w:t>
      </w:r>
    </w:p>
    <w:p>
      <w:pPr>
        <w:spacing w:after="80" w:before="50" w:line="320"/>
        <w:ind w:firstLine="200"/>
        <w:jc w:val="left"/>
      </w:pPr>
      <w:r>
        <w:rPr>
          <w:rFonts w:ascii="游ゴシック" w:cs="游ゴシック" w:eastAsia="游ゴシック" w:hAnsi="游ゴシック"/>
          <w:i w:val="false"/>
          <w:iCs w:val="false"/>
          <w:sz w:val="21"/>
          <w:szCs w:val="21"/>
        </w:rPr>
        <w:t xml:space="preserve">本町は町内唯一の医療拠点である国民健康保険川崎病院を在宅医療連携のハブとし、退院前カンファレンス・ACP（人生会議）の普及、訪問看護・訪問診療・ケアマネとの多職種連携を強化します。一方、専門医療・夜間救急については町外医療機関（みやぎ県南中核病院・刈田綜合病院）への依存度が高く、通院の移動・付添に係る家族負担が大きいことから、広域医療連携の体制整備と移動支援との連動を重点化します。</w:t>
      </w:r>
    </w:p>
    <w:p>
      <w:pPr>
        <w:spacing w:after="80" w:before="50" w:line="320"/>
        <w:ind w:firstLine="200"/>
        <w:jc w:val="left"/>
      </w:pPr>
      <w:r>
        <w:rPr>
          <w:rFonts w:ascii="游ゴシック" w:cs="游ゴシック" w:eastAsia="游ゴシック" w:hAnsi="游ゴシック"/>
          <w:i w:val="false"/>
          <w:iCs w:val="false"/>
          <w:sz w:val="21"/>
          <w:szCs w:val="21"/>
        </w:rPr>
        <w:t xml:space="preserve">家族介護者への支援については、令和8年6〜7月の在宅介護実態調査により介護者の状況が数値で把握できたことを踏まえ、本節の後段に独立した項を設けて整理します。</w:t>
      </w:r>
    </w:p>
    <w:p>
      <w:pPr>
        <w:spacing w:after="80" w:before="180" w:line="300"/>
      </w:pPr>
      <w:r>
        <w:rPr>
          <w:rFonts w:ascii="游ゴシック" w:cs="游ゴシック" w:eastAsia="游ゴシック" w:hAnsi="游ゴシック"/>
          <w:b w:val="1"/>
          <w:bCs w:val="1"/>
          <w:i w:val="false"/>
          <w:iCs w:val="false"/>
          <w:sz w:val="22"/>
          <w:szCs w:val="22"/>
        </w:rPr>
        <w:t xml:space="preserve">　▌ 第１節 地域における高齢者の生活支援（3項19事業）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8"/>
        <w:gridCol w:w="184"/>
        <w:gridCol w:w="32"/>
        <w:gridCol w:w="96"/>
      </w:tblGrid>
      <w:tr>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項</w:t>
            </w:r>
          </w:p>
        </w:tc>
        <w:tc>
          <w:tcPr>
            <w:tcW w:type="dxa" w:w="1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w:t>
            </w:r>
          </w:p>
        </w:tc>
        <w:tc>
          <w:tcPr>
            <w:tcW w:type="dxa" w:w="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所管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１　福祉サービスの提供による生活支援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（１）外出支援サービス（移送サービス）事業【重点】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社会福祉協議会・NPO法人</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（２）デマンド型乗合タクシーの運行【重点】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地域振興課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（３）町民バスの運行【重点】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地域振興課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（４）会食サービス事業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社会福祉協議会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（５）緊急通報システム事業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保健福祉課・社会福祉協議会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（６）老人クラブ助成事業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（７）敬老会開催事業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（８）敬老祝金支給事業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２　住民主体の高齢者の支援体制の充実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（１）社会福祉協議会との連携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保健福祉課・社会福祉協議会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（２）高齢者見守り体制の整備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保健福祉課・社会福祉協議会・民生委員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（３）ふれあいネットワーク活動の推進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社会福祉協議会・民生委員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（４）地域コミュニティ活動への支援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地域振興課・社会福祉協議会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（５）ボランティア活動の振興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社会福祉協議会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３　家族介護者への支援【新設】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（１）家族介護教室の開催</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保健福祉課・地域包括支援センター</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（２）家族介護者の相談・交流の場（ピアサポート）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地域包括支援センター・社会福祉協議会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（３）レスパイト（短期入所）の利用支援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地域包括支援センター・事業所</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（４）介護離職の防止・仕事と介護の両立支援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保健福祉課・企画課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（５）支援が届いていない世帯の把握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地域包括支援センター・民生委員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（６）ヤングケアラー・ダブルケアへの対応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保健福祉課・地域包括支援センター</w:t>
            </w:r>
          </w:p>
        </w:tc>
      </w:tr>
    </w:tbl>
    <w:p>
      <w:pPr>
        <w:spacing w:after="80" w:before="180" w:line="300"/>
      </w:pPr>
      <w:r>
        <w:rPr>
          <w:rFonts w:ascii="游ゴシック" w:cs="游ゴシック" w:eastAsia="游ゴシック" w:hAnsi="游ゴシック"/>
          <w:b w:val="1"/>
          <w:bCs w:val="1"/>
          <w:i w:val="false"/>
          <w:iCs w:val="false"/>
          <w:sz w:val="22"/>
          <w:szCs w:val="22"/>
        </w:rPr>
        <w:t xml:space="preserve">　▌ 新たに立てる事業・広げる事業（新規6件・拡充1件）</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96"/>
        <w:gridCol w:w="144"/>
        <w:gridCol w:w="136"/>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w:t>
            </w:r>
          </w:p>
        </w:tc>
        <w:tc>
          <w:tcPr>
            <w:tcW w:type="dxa" w:w="14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根拠となる事実</w:t>
            </w:r>
          </w:p>
        </w:tc>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第10期での内容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（１）家族介護教室の開催</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調：主な介護者の不安は「認知症状への対応」33.3％・「外出の付き添い、送迎等」33.3％（n=75）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地域支援事業（任意事業）の家族介護支援事業として実施。第4章第2節3(3)介護用品の支給と一体で国の家族介護支援事業に当たる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（２）家族介護者の相談・交流の場（ピアサポート）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調：主な介護者の70歳以上42.1％（n=76）。第9期35.3％から＋6.8ポイント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同上。介護者の孤立防止</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（３）レスパイト（短期入所）の利用支援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調：本人が男性の世帯では主な介護者の70.6％が70歳以上（n=34）。夫婦のみ世帯では81.3％（n=16）</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介護者の高齢化対策の主たる対象は本人が男性の世帯・夫婦のみ世帯</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（４）介護離職の防止・仕事と介護の両立支援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調：働きながらの介護継続が「難しい」計25.6％。第9期17.2％から＋8.4ポイント。介護のために離職・転職した世帯19.1％（n=68）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両立支援の主たる対象は本人が女性の世帯（介護者の43.6％が50代以下・フルタイム就労41.0％）。町単独事業のため地域支援事業の対象外</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（５）支援が届いていない世帯の把握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調：家族介護もサービス利用もない世帯50件（36.2％・n=138）。うち64.0％が施設入所を申込済み</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「単身世帯かつ家族介護なし」は24件中20件（83.3％）が申込済みで最も高い。ケアマネジャー・民生委員・ふれあいネットワークと連携して把握する（確認事項No.111）</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（６）ヤングケアラー・ダブルケアへの対応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実：地域福祉計画・障害者計画との3計画同時策定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重層的支援体制整備事業（第4章第2節1(8)）に接続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（４）高齢者と若い世代との交流の推進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調：生きがいの自由記述256件のうち「孫」に関する記述が65件（25.4％）と突出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素案に記載がなかった事業。「通いの場」型の施策だけでは届かない層に対する世代間交流の視点</w:t>
            </w:r>
          </w:p>
        </w:tc>
      </w:tr>
    </w:tbl>
    <w:p>
      <w:pPr>
        <w:spacing w:after="80" w:before="180" w:line="300"/>
      </w:pPr>
      <w:r>
        <w:rPr>
          <w:rFonts w:ascii="游ゴシック" w:cs="游ゴシック" w:eastAsia="游ゴシック" w:hAnsi="游ゴシック"/>
          <w:b w:val="1"/>
          <w:bCs w:val="1"/>
          <w:i w:val="false"/>
          <w:iCs w:val="false"/>
          <w:sz w:val="22"/>
          <w:szCs w:val="22"/>
        </w:rPr>
        <w:t xml:space="preserve">　▌ 家族介護者への支援（第1節3・新設）</w:t>
      </w:r>
    </w:p>
    <w:p>
      <w:pPr>
        <w:spacing w:after="80" w:before="50" w:line="320"/>
        <w:ind w:firstLine="200"/>
        <w:jc w:val="left"/>
      </w:pPr>
      <w:r>
        <w:rPr>
          <w:rFonts w:ascii="游ゴシック" w:cs="游ゴシック" w:eastAsia="游ゴシック" w:hAnsi="游ゴシック"/>
          <w:i w:val="false"/>
          <w:iCs w:val="false"/>
          <w:sz w:val="21"/>
          <w:szCs w:val="21"/>
        </w:rPr>
        <w:t xml:space="preserve">家族介護者への支援は、第9期計画では在宅生活の支援の一部として扱われていましたが、第10期では独立した項として位置付けます。令和8年6〜7月に実施した在宅介護実態調査により、家族介護者の状況が数値で把握できたためです。</w:t>
      </w:r>
    </w:p>
    <w:p>
      <w:pPr>
        <w:spacing w:after="80" w:before="50" w:line="320"/>
        <w:ind w:firstLine="200"/>
        <w:jc w:val="left"/>
      </w:pPr>
      <w:r>
        <w:rPr>
          <w:rFonts w:ascii="游ゴシック" w:cs="游ゴシック" w:eastAsia="游ゴシック" w:hAnsi="游ゴシック"/>
          <w:i w:val="false"/>
          <w:iCs w:val="false"/>
          <w:sz w:val="21"/>
          <w:szCs w:val="21"/>
        </w:rPr>
        <w:t xml:space="preserve">同調査によれば、主な介護者の42.1％が70歳以上であり（n=76）、介護者自身の高齢化が進んでいます。第9期調査の35.3％から6.8ポイント上昇しており、介護者の高齢化は実際に進行しています。また、介護のために離職・転職した世帯が19.1％（n=68）あり、介護離職は現実に生じています。主な介護者の不安は「外出の付き添い・送迎等」と「認知症状への対応」がともに33.3％で最も多く（n=75）、次いで入浴・洗身26.7％、食事の準備24.0％となっています。</w:t>
      </w:r>
    </w:p>
    <w:p>
      <w:pPr>
        <w:spacing w:after="80" w:before="50" w:line="320"/>
        <w:ind w:firstLine="200"/>
        <w:jc w:val="left"/>
      </w:pPr>
      <w:r>
        <w:rPr>
          <w:rFonts w:ascii="游ゴシック" w:cs="游ゴシック" w:eastAsia="游ゴシック" w:hAnsi="游ゴシック"/>
          <w:i w:val="false"/>
          <w:iCs w:val="false"/>
          <w:sz w:val="21"/>
          <w:szCs w:val="21"/>
        </w:rPr>
        <w:t xml:space="preserve">介護者の姿は、本人の性別によって大きく異なります。本人が男性の世帯では主な介護者の70.6％（n=34）が70歳以上で、夫婦のみ世帯に限れば81.3％（n=16）に達します。これに対し、本人が女性の世帯では介護者の43.6％（n=39）が50代以下で、フルタイムで働いている介護者が41.0％を占めます。介護者の高齢化対策（レスパイト・訪問相談）と仕事と介護の両立支援（勤務調整・休暇制度の周知）とでは対象となる世帯像が異なるため、周知の経路と内容を分けて設計します。一方で、家族・親族からの介護がない層が45.8％（n=142）あり、この層の56.9％が既に施設入所を申し込んでいます（介護が「ある」層は13.5％）。さらに、家族介護もサービス利用もない世帯が50件・36.2％（n=138）あり、その64.0％（32件）は施設入所を申込済みです。在宅の要介護認定者（約369人）に外挿すると約134人規模となります。支援が届いていない層をどう把握するかが第10期の課題となり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施設入所の申込みは、要介護度よりも世帯の状況と強く関連している。最も高いのは「単身世帯かつ家族介護なし」の83.3％（24件中20件）である。家族介護者への支援は、施設サービスの見込量に直接影響する施策である。</w:t>
      </w:r>
    </w:p>
    <w:p>
      <w:pPr>
        <w:spacing w:after="80" w:before="180" w:line="300"/>
      </w:pPr>
      <w:r>
        <w:rPr>
          <w:rFonts w:ascii="游ゴシック" w:cs="游ゴシック" w:eastAsia="游ゴシック" w:hAnsi="游ゴシック"/>
          <w:b w:val="1"/>
          <w:bCs w:val="1"/>
          <w:i w:val="false"/>
          <w:iCs w:val="false"/>
          <w:sz w:val="22"/>
          <w:szCs w:val="22"/>
        </w:rPr>
        <w:t xml:space="preserve">　▌ 第２節 高齢者の社会参加の促進（1項6事業）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8"/>
        <w:gridCol w:w="184"/>
        <w:gridCol w:w="32"/>
        <w:gridCol w:w="96"/>
      </w:tblGrid>
      <w:tr>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項</w:t>
            </w:r>
          </w:p>
        </w:tc>
        <w:tc>
          <w:tcPr>
            <w:tcW w:type="dxa" w:w="1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w:t>
            </w:r>
          </w:p>
        </w:tc>
        <w:tc>
          <w:tcPr>
            <w:tcW w:type="dxa" w:w="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所管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１　高齢者の社会参加の促進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（１）老人クラブ活動の支援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（２）生涯学習の推進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教育委員会【町確認】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（３）高齢者の健康づくり・スポーツ活動の振興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保健福祉課・教育委員会【町確認】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（４）高齢者と若い世代との交流の推進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地域振興課・社会福祉協議会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（５）地域交流活動の推進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地域振興課・社会福祉協議会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（６）シルバー人材センターの活用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bl>
    <w:p>
      <w:pPr>
        <w:spacing w:after="80" w:before="180" w:line="300"/>
      </w:pPr>
      <w:r>
        <w:rPr>
          <w:rFonts w:ascii="游ゴシック" w:cs="游ゴシック" w:eastAsia="游ゴシック" w:hAnsi="游ゴシック"/>
          <w:b w:val="1"/>
          <w:bCs w:val="1"/>
          <w:i w:val="false"/>
          <w:iCs w:val="false"/>
          <w:sz w:val="22"/>
          <w:szCs w:val="22"/>
        </w:rPr>
        <w:t xml:space="preserve">　▌ 成果指標（家族介護者への支援）</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36"/>
        <w:gridCol w:w="80"/>
        <w:gridCol w:w="72"/>
        <w:gridCol w:w="112"/>
      </w:tblGrid>
      <w:tr>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指標</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現状値</w:t>
            </w:r>
          </w:p>
        </w:tc>
        <w:tc>
          <w:tcPr>
            <w:tcW w:type="dxa" w:w="7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目標値（R11）</w:t>
            </w:r>
          </w:p>
        </w:tc>
        <w:tc>
          <w:tcPr>
            <w:tcW w:type="dxa" w:w="11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出典・備考</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家族介護教室の開催回数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【委員会協議】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介護のために離職・転職した世帯の割合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19.1％（n=68）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減少</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在宅介護実態調査（次期調査で測定）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主な介護者の不安「認知症状への対応」</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33.3％（n=75）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減少</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在宅介護実態調査（次期調査で測定）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家族介護もサービス利用もない世帯の把握</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未把握</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把握の仕組みを整備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地域包括支援センター</w:t>
            </w:r>
          </w:p>
        </w:tc>
      </w:tr>
    </w:tbl>
    <w:p>
      <w:pPr>
        <w:spacing w:after="80" w:before="80" w:line="280"/>
        <w:ind w:left="288"/>
      </w:pPr>
      <w:r>
        <w:rPr>
          <w:rFonts w:ascii="游ゴシック" w:cs="游ゴシック" w:eastAsia="游ゴシック" w:hAnsi="游ゴシック"/>
          <w:i/>
          <w:iCs/>
          <w:sz w:val="19"/>
          <w:szCs w:val="19"/>
        </w:rPr>
        <w:t xml:space="preserve">⚠ 現状値のうち調査によるものは令和8年6〜7月の在宅介護実態調査（有効回答142件）によります。目標値は策定委員会での協議事項です。</w:t>
      </w:r>
    </w:p>
    <w:p>
      <w:pPr>
        <w:spacing w:after="100" w:before="200" w:line="320"/>
      </w:pPr>
      <w:r>
        <w:rPr>
          <w:rFonts w:ascii="游ゴシック" w:cs="游ゴシック" w:eastAsia="游ゴシック" w:hAnsi="游ゴシック"/>
          <w:b w:val="1"/>
          <w:bCs w:val="1"/>
          <w:i w:val="false"/>
          <w:iCs w:val="false"/>
          <w:sz w:val="25"/>
          <w:szCs w:val="25"/>
        </w:rPr>
        <w:t xml:space="preserve">5-4　地域支援事業の充実（柱4）</w:t>
      </w:r>
    </w:p>
    <w:p>
      <w:pPr>
        <w:spacing w:after="80" w:before="180" w:line="300"/>
      </w:pPr>
      <w:r>
        <w:rPr>
          <w:rFonts w:ascii="游ゴシック" w:cs="游ゴシック" w:eastAsia="游ゴシック" w:hAnsi="游ゴシック"/>
          <w:b w:val="1"/>
          <w:bCs w:val="1"/>
          <w:i w:val="false"/>
          <w:iCs w:val="false"/>
          <w:sz w:val="22"/>
          <w:szCs w:val="22"/>
        </w:rPr>
        <w:t xml:space="preserve">　▌ 施策の方向性</w:t>
      </w:r>
    </w:p>
    <w:p>
      <w:pPr>
        <w:spacing w:after="80" w:before="50" w:line="320"/>
        <w:ind w:firstLine="200"/>
        <w:jc w:val="left"/>
      </w:pPr>
      <w:r>
        <w:rPr>
          <w:rFonts w:ascii="游ゴシック" w:cs="游ゴシック" w:eastAsia="游ゴシック" w:hAnsi="游ゴシック"/>
          <w:i w:val="false"/>
          <w:iCs w:val="false"/>
          <w:sz w:val="21"/>
          <w:szCs w:val="21"/>
        </w:rPr>
        <w:t xml:space="preserve">介護予防・日常生活支援総合事業と包括的支援事業・任意事業により、要支援者と事業対象者への支援、地域包括支援センターの運営、生活支援体制の整備、家族介護者への支援等を行います。令和8年度の保険者努力支援交付金では、目標Ⅰ（介護予防・日常生活支援の推進）が100点満点中87点で全国5位であり、本町が最も高い評価を得ている分野です。一方、活動指標群のうち「生活支援コーディネーターの地域ケア会議への参加割合」は0点であり（配置数は満点）、会議への出席を運用で確保することを第2節に位置付けます。</w:t>
      </w:r>
    </w:p>
    <w:p>
      <w:pPr>
        <w:spacing w:after="80" w:before="50" w:line="320"/>
        <w:ind w:firstLine="200"/>
        <w:jc w:val="left"/>
      </w:pPr>
      <w:r>
        <w:rPr>
          <w:rFonts w:ascii="游ゴシック" w:cs="游ゴシック" w:eastAsia="游ゴシック" w:hAnsi="游ゴシック"/>
          <w:i w:val="false"/>
          <w:iCs w:val="false"/>
          <w:sz w:val="21"/>
          <w:szCs w:val="21"/>
        </w:rPr>
        <w:t xml:space="preserve">また、交付金で評価されながら第9期計画に記載のなかった「介護予防ポイント事業」（支援 目標Ⅰ・県内1位）と「アウトリーチ等の取組」（支援 目標Ⅰ・9点満点・県内1位）を、第1節の事業として明記します。とりわけアウトリーチは、通いの場への参加意向55.2％（n=543）に対し実際の参加率が15.9％（n=439）にとどまるという開きを埋める手段として、施策上の意味が大きいものです。</w:t>
      </w:r>
    </w:p>
    <w:p>
      <w:pPr>
        <w:spacing w:after="80" w:before="50" w:line="320"/>
        <w:ind w:firstLine="200"/>
        <w:jc w:val="left"/>
      </w:pPr>
      <w:r>
        <w:rPr>
          <w:rFonts w:ascii="游ゴシック" w:cs="游ゴシック" w:eastAsia="游ゴシック" w:hAnsi="游ゴシック"/>
          <w:i w:val="false"/>
          <w:iCs w:val="false"/>
          <w:sz w:val="21"/>
          <w:szCs w:val="21"/>
        </w:rPr>
        <w:t xml:space="preserve">⚠ 地域支援事業の事業別の実績（費用・実施回数・対象者数）は町からのご提供を待っています。上限額の管理と事業費の見込みは第9章9-2に整理しています。</w:t>
      </w:r>
    </w:p>
    <w:p>
      <w:pPr>
        <w:spacing w:after="80" w:before="180" w:line="300"/>
      </w:pPr>
      <w:r>
        <w:rPr>
          <w:rFonts w:ascii="游ゴシック" w:cs="游ゴシック" w:eastAsia="游ゴシック" w:hAnsi="游ゴシック"/>
          <w:b w:val="1"/>
          <w:bCs w:val="1"/>
          <w:i w:val="false"/>
          <w:iCs w:val="false"/>
          <w:sz w:val="22"/>
          <w:szCs w:val="22"/>
        </w:rPr>
        <w:t xml:space="preserve">　▌ 第１節 介護予防・日常生活支援総合事業（2項14事業）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8"/>
        <w:gridCol w:w="184"/>
        <w:gridCol w:w="32"/>
        <w:gridCol w:w="96"/>
      </w:tblGrid>
      <w:tr>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項</w:t>
            </w:r>
          </w:p>
        </w:tc>
        <w:tc>
          <w:tcPr>
            <w:tcW w:type="dxa" w:w="1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w:t>
            </w:r>
          </w:p>
        </w:tc>
        <w:tc>
          <w:tcPr>
            <w:tcW w:type="dxa" w:w="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所管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１　介護予防・生活支援サービス事業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（１）訪問型サービス（訪問介護相当サービス、訪問型サービスＢ・Ｃ）</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（２）通所型サービス（通所介護相当サービス、通所型サービスＢ）</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（３）介護予防ケアマネジメント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地域包括支援センター</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（４）生活支援サービス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（５）高額介護予防サービス相当事業等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２　一般介護予防事業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（１）介護予防把握事業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（２）介護予防普及啓発事業（元気まんてん介護予防教室、元気いきいきセミナー、パドル体操教室、ノルディックウォーキング教室等）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（３）地域介護予防活動支援事業（介護予防サロン、ヨーガ教室等）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保健福祉課・社会福祉協議会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（４）一般介護予防事業評価事業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（５）地域リハビリテーション活動支援事業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（６）介護予防・地域ささえあいサポート拠点事業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保健福祉課・社会福祉協議会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（７）ユニバーサルサポーター制度の推進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保健福祉課・社会福祉協議会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（８）介護予防ポイント事業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保健福祉課・社会福祉協議会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（９）アウトリーチによる参加勧奨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保健福祉課・地域包括支援センター</w:t>
            </w:r>
          </w:p>
        </w:tc>
      </w:tr>
    </w:tbl>
    <w:p>
      <w:pPr>
        <w:spacing w:after="80" w:before="180" w:line="300"/>
      </w:pPr>
      <w:r>
        <w:rPr>
          <w:rFonts w:ascii="游ゴシック" w:cs="游ゴシック" w:eastAsia="游ゴシック" w:hAnsi="游ゴシック"/>
          <w:b w:val="1"/>
          <w:bCs w:val="1"/>
          <w:i w:val="false"/>
          <w:iCs w:val="false"/>
          <w:sz w:val="22"/>
          <w:szCs w:val="22"/>
        </w:rPr>
        <w:t xml:space="preserve">　▌ 第２節 包括的支援事業・任意事業（3項16事業）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8"/>
        <w:gridCol w:w="184"/>
        <w:gridCol w:w="32"/>
        <w:gridCol w:w="96"/>
      </w:tblGrid>
      <w:tr>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項</w:t>
            </w:r>
          </w:p>
        </w:tc>
        <w:tc>
          <w:tcPr>
            <w:tcW w:type="dxa" w:w="1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w:t>
            </w:r>
          </w:p>
        </w:tc>
        <w:tc>
          <w:tcPr>
            <w:tcW w:type="dxa" w:w="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所管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１　包括的支援システムの充実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（１）地域包括支援センター運営事業【重点】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保健福祉課・社会福祉協議会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（２）包括的相談体制の整備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地域包括支援センター</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（３）総合相談支援・権利擁護事業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地域包括支援センター</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（４）包括的・継続的ケアマネジメント支援事業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地域包括支援センター</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（５）自立支援型地域ケア会議の充実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地域包括支援センター</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（６）在宅医療・介護連携推進事業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保健福祉課・国保川崎病院</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（７）高齢者虐待の早期発見、早期解決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保健福祉課・地域包括支援センター</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（８）重層的支援体制整備事業との連動</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保健福祉課・地域包括支援センター</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２　生活支援サービスの体制整備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（１）生活支援コーディネーター（地域支え合い推進員）活動の推進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保健福祉課・社会福祉協議会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（２）生活支援コーディネーター（地域支え合い推進員）の確保と研修</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保健福祉課・社会福祉協議会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（３）生活支援・介護予防サービスのネットワーク（協議体）の推進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保健福祉課・社会福祉協議会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（４）生活支援・介護予防サービスの推進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保健福祉課・社会福祉協議会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３　任意事業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（１）介護給付費等適正化事業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（２）成年後見制度利用支援事業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保健福祉課・地域包括支援センター</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（３）介護用品（紙おむつ等）の支給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（４）配食サービス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保健福祉課・社会福祉協議会</w:t>
            </w:r>
          </w:p>
        </w:tc>
      </w:tr>
    </w:tbl>
    <w:p>
      <w:pPr>
        <w:spacing w:after="80" w:before="180" w:line="300"/>
      </w:pPr>
      <w:r>
        <w:rPr>
          <w:rFonts w:ascii="游ゴシック" w:cs="游ゴシック" w:eastAsia="游ゴシック" w:hAnsi="游ゴシック"/>
          <w:b w:val="1"/>
          <w:bCs w:val="1"/>
          <w:i w:val="false"/>
          <w:iCs w:val="false"/>
          <w:sz w:val="22"/>
          <w:szCs w:val="22"/>
        </w:rPr>
        <w:t xml:space="preserve">　▌ 新たに立てる事業・広げる事業（新規1件・拡充8件）</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96"/>
        <w:gridCol w:w="144"/>
        <w:gridCol w:w="136"/>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w:t>
            </w:r>
          </w:p>
        </w:tc>
        <w:tc>
          <w:tcPr>
            <w:tcW w:type="dxa" w:w="14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根拠となる事実</w:t>
            </w:r>
          </w:p>
        </w:tc>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第10期での内容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（３）地域介護予防活動支援事業（介護予防サロン、ヨーガ教室等）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調：通いの場に参加していない84.1％（n=439）に対しグループ活動への参加意向55.2％（n=543）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参加意向と実際の参加の開きが大きい。移動支援との連動が課題</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（４）一般介護予防事業評価事業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交：令和8年度の保険者機能強化推進交付金で「評価結果の活用」が令和7年度の満点16点から0点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第7章8（計画値と実績値の乖離のモニタリング）と連動</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（１）地域包括支援センター運営事業【重点】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実：保健師3名＋認定調査員1名の4名体制。認定調査業務との兼務で業務量が過多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第10期の体制強化が課題。ケアプランの外部委託あり</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（２）包括的相談体制の整備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調：家族・友人以外に相談できる相手が「いない」38.8％（n=484）。世帯構成による差は小さい（χ²検定 p=0.366）</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相談窓口の不在は独居かどうかによらない共通の課題。対象を絞らない全戸的な周知が有効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（５）自立支援型地域ケア会議の充実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交：取組（プロセス）は全国上位である一方、要介護度の変化等のアウトカムは全国下位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ケース検討から地域課題の抽出への展開を重点化する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（６）在宅医療・介護連携推進事業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交：支援 目標Ⅲ 体制3指標はいずれも満点・県内1位である一方、「人生の最終段階における支援」0／16点・県内31位、「入退院支援」4／16点・県内23位。実：国民健康保険川崎病院が町内唯一の医療拠点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退院前カンファレンス・ACP（人生会議）の普及。町外医療機関との広域連携（第1章第1節2(3)）と一体で運用する。体制は整っているが活動量が伴っていないため、ACPと入退院支援の実施件数を第10期の重点とする。人生の最終段階における支援は3年連続0点であり、同規模かつ過疎地域の285保険者の平均3.6点も全国平均6.4点を下回る。まず実施の記録を残す運用から始める（素案3-3）</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（８）重層的支援体制整備事業との連動</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実：令和8年度からの地域福祉計画・障害者計画との3計画同時策定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体系（案）にない施策。8050問題・ヤングケアラー・ダブルケア等の複合的な課題を抱える世帯への包括的支援。地域福祉計画・障害者計画はジャパン総研が策定担当</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（１）生活支援コーディネーター（地域支え合い推進員）活動の推進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交：支援 目標Ⅰ「生活支援コーディネーター数」4点満点・県内1位である一方、「地域ケア会議への参加割合」0／4点・県内25位。実：生活支援コーディネーター25名・第1層協議体・第2層協議体</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配置数は県内1位だが会議への参加が3年連続0点。自立支援型地域ケア会議（第2節1(5)）への出席を運用で確保すれば得点できる。同規模かつ過疎地域の285保険者のうち161件（56.5％）が満点を取っており、0点9指標のなかで最も取りやすい（素案3-3）</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（１）介護給付費等適正化事業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交：「給付費適正化方策の策定状況」は3年連続32点満点・県内1位である一方、「給付費適正化事業の取組状況」は令和7年度36点から令和8年度30／36点に低下。「医療情報との突合」は16点満点・県内1位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柱7 2（介護費用適正化の推進）と一体で運用する。令和8年度に落ちた項目を確認中【町確認】</w:t>
            </w:r>
          </w:p>
        </w:tc>
      </w:tr>
    </w:tbl>
    <w:p>
      <w:pPr>
        <w:spacing w:after="100" w:before="200" w:line="320"/>
      </w:pPr>
      <w:r>
        <w:rPr>
          <w:rFonts w:ascii="游ゴシック" w:cs="游ゴシック" w:eastAsia="游ゴシック" w:hAnsi="游ゴシック"/>
          <w:b w:val="1"/>
          <w:bCs w:val="1"/>
          <w:i w:val="false"/>
          <w:iCs w:val="false"/>
          <w:sz w:val="25"/>
          <w:szCs w:val="25"/>
        </w:rPr>
        <w:t xml:space="preserve">5-5　介護給付・介護予防給付サービスの充実（柱6）</w:t>
      </w:r>
    </w:p>
    <w:p>
      <w:pPr>
        <w:spacing w:after="80" w:before="180" w:line="300"/>
      </w:pPr>
      <w:r>
        <w:rPr>
          <w:rFonts w:ascii="游ゴシック" w:cs="游ゴシック" w:eastAsia="游ゴシック" w:hAnsi="游ゴシック"/>
          <w:b w:val="1"/>
          <w:bCs w:val="1"/>
          <w:i w:val="false"/>
          <w:iCs w:val="false"/>
          <w:sz w:val="22"/>
          <w:szCs w:val="22"/>
        </w:rPr>
        <w:t xml:space="preserve">　▌ 施策の方向性</w:t>
      </w:r>
    </w:p>
    <w:p>
      <w:pPr>
        <w:spacing w:after="80" w:before="50" w:line="320"/>
        <w:ind w:firstLine="200"/>
        <w:jc w:val="left"/>
      </w:pPr>
      <w:r>
        <w:rPr>
          <w:rFonts w:ascii="游ゴシック" w:cs="游ゴシック" w:eastAsia="游ゴシック" w:hAnsi="游ゴシック"/>
          <w:i w:val="false"/>
          <w:iCs w:val="false"/>
          <w:sz w:val="21"/>
          <w:szCs w:val="21"/>
        </w:rPr>
        <w:t xml:space="preserve">介護給付・介護予防給付のサービスは、居宅サービス14種別・地域密着型サービス9種別・施設サービス3種別です。本節では体系上の位置付けを示し、種別ごとの見込量・給付費及び必要利用定員総数は第9章9-1に定めます。</w:t>
      </w:r>
    </w:p>
    <w:p>
      <w:pPr>
        <w:spacing w:after="80" w:before="50" w:line="320"/>
        <w:ind w:firstLine="200"/>
        <w:jc w:val="left"/>
      </w:pPr>
      <w:r>
        <w:rPr>
          <w:rFonts w:ascii="游ゴシック" w:cs="游ゴシック" w:eastAsia="游ゴシック" w:hAnsi="游ゴシック"/>
          <w:i w:val="false"/>
          <w:iCs w:val="false"/>
          <w:sz w:val="21"/>
          <w:szCs w:val="21"/>
        </w:rPr>
        <w:t xml:space="preserve">本町の給付構造は、令和7年度で施設サービスが給付費の49.4％、地域密着型が18.3％、居宅サービスが32.3％です。入所・居住系（施設・地域密着型・特定施設）が680,226千円・68.1％を占め、1人1月あたり給付費は約29.9万円で、居宅サービス（特定施設を除く）の約10.2万円の約2.9倍です。入所・居住系の利用者が1人増減すると保険料基準額は月額約21円動きます。</w:t>
      </w:r>
    </w:p>
    <w:p>
      <w:pPr>
        <w:spacing w:after="80" w:before="50" w:line="320"/>
        <w:ind w:firstLine="200"/>
        <w:jc w:val="left"/>
      </w:pPr>
      <w:r>
        <w:rPr>
          <w:rFonts w:ascii="游ゴシック" w:cs="游ゴシック" w:eastAsia="游ゴシック" w:hAnsi="游ゴシック"/>
          <w:i w:val="false"/>
          <w:iCs w:val="false"/>
          <w:sz w:val="21"/>
          <w:szCs w:val="21"/>
        </w:rPr>
        <w:t xml:space="preserve">⚠ 在宅系の地域密着型サービス（定期巡回・随時対応型訪問介護看護、夜間対応型訪問介護、看護小規模多機能型居宅介護）は、在宅介護実態調査での利用がほとんど確認できませんでした。町内及び近隣市町村に指定事業所が存在するかを確認できておらず［要確認］、存在しない場合、利用が0件であることは供給側の事実であり、利用勧奨では対応できません。第2回策定委員会の選択3でお諮りしています。</w:t>
      </w:r>
    </w:p>
    <w:p>
      <w:pPr>
        <w:spacing w:after="80" w:before="180" w:line="300"/>
      </w:pPr>
      <w:r>
        <w:rPr>
          <w:rFonts w:ascii="游ゴシック" w:cs="游ゴシック" w:eastAsia="游ゴシック" w:hAnsi="游ゴシック"/>
          <w:b w:val="1"/>
          <w:bCs w:val="1"/>
          <w:i w:val="false"/>
          <w:iCs w:val="false"/>
          <w:sz w:val="22"/>
          <w:szCs w:val="22"/>
        </w:rPr>
        <w:t xml:space="preserve">　▌ 第１節 居宅サービス（14事業）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8"/>
        <w:gridCol w:w="184"/>
        <w:gridCol w:w="32"/>
        <w:gridCol w:w="96"/>
      </w:tblGrid>
      <w:tr>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項</w:t>
            </w:r>
          </w:p>
        </w:tc>
        <w:tc>
          <w:tcPr>
            <w:tcW w:type="dxa" w:w="1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w:t>
            </w:r>
          </w:p>
        </w:tc>
        <w:tc>
          <w:tcPr>
            <w:tcW w:type="dxa" w:w="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所管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１　介護・介護予防給付サービス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（１）訪問介護（ホームヘルプサービス）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（２）訪問入浴介護・介護予防訪問入浴介護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（３）訪問看護・介護予防訪問看護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（４）訪問リハビリテーション・介護予防訪問リハビリテーション</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（５）居宅療養管理指導・介護予防居宅療養管理指導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（６）通所介護（デイサービス）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（７）通所リハビリテーション・介護予防通所リハビリテーション</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（８）短期入所生活介護・介護予防短期入所生活介護（ショートステイ）</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（９）短期入所療養介護（ショートステイ）・介護予防短期入所療養介護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（10）特定施設入居者生活介護、介護予防特定施設入居者生活介護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（11）福祉用具貸与・介護予防福祉用具貸与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（12）特定福祉用具購入費・特定介護予防福祉用具購入費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（13）住宅改修・介護予防住宅改修</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（14）居宅介護支援・介護予防支援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bl>
    <w:p>
      <w:pPr>
        <w:spacing w:after="80" w:before="180" w:line="300"/>
      </w:pPr>
      <w:r>
        <w:rPr>
          <w:rFonts w:ascii="游ゴシック" w:cs="游ゴシック" w:eastAsia="游ゴシック" w:hAnsi="游ゴシック"/>
          <w:b w:val="1"/>
          <w:bCs w:val="1"/>
          <w:i w:val="false"/>
          <w:iCs w:val="false"/>
          <w:sz w:val="22"/>
          <w:szCs w:val="22"/>
        </w:rPr>
        <w:t xml:space="preserve">　▌ 第２節 地域密着型サービス（9事業）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8"/>
        <w:gridCol w:w="184"/>
        <w:gridCol w:w="32"/>
        <w:gridCol w:w="96"/>
      </w:tblGrid>
      <w:tr>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項</w:t>
            </w:r>
          </w:p>
        </w:tc>
        <w:tc>
          <w:tcPr>
            <w:tcW w:type="dxa" w:w="1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w:t>
            </w:r>
          </w:p>
        </w:tc>
        <w:tc>
          <w:tcPr>
            <w:tcW w:type="dxa" w:w="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所管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１　地域密着型サービス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（１）定期巡回・随時対応型訪問介護看護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（２）夜間対応型訪問介護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（３）認知症対応型通所介護・介護予防認知症対応型通所介護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（４）小規模多機能型居宅介護、介護予防小規模多機能型居宅介護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（５）認知症対応型共同生活介護・介護予防認知症対応型共同生活介護（グループホーム）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（６）地域密着型特定施設入居者生活介護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（７）地域密着型介護老人福祉施設入居者生活介護（小規模特別養護老人ホーム）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（８）看護小規模多機能型居宅介護（複合型サービス）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（９）地域密着型通所介護（小規模デイ）</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bl>
    <w:p>
      <w:pPr>
        <w:spacing w:after="80" w:before="180" w:line="300"/>
      </w:pPr>
      <w:r>
        <w:rPr>
          <w:rFonts w:ascii="游ゴシック" w:cs="游ゴシック" w:eastAsia="游ゴシック" w:hAnsi="游ゴシック"/>
          <w:b w:val="1"/>
          <w:bCs w:val="1"/>
          <w:i w:val="false"/>
          <w:iCs w:val="false"/>
          <w:sz w:val="22"/>
          <w:szCs w:val="22"/>
        </w:rPr>
        <w:t xml:space="preserve">　▌ 第３節 施設サービス（3事業）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8"/>
        <w:gridCol w:w="184"/>
        <w:gridCol w:w="32"/>
        <w:gridCol w:w="96"/>
      </w:tblGrid>
      <w:tr>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項</w:t>
            </w:r>
          </w:p>
        </w:tc>
        <w:tc>
          <w:tcPr>
            <w:tcW w:type="dxa" w:w="1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w:t>
            </w:r>
          </w:p>
        </w:tc>
        <w:tc>
          <w:tcPr>
            <w:tcW w:type="dxa" w:w="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所管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１　施設サービス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（１）介護老人福祉施設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（２）介護老人保健施設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（３）介護医療院</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bl>
    <w:p>
      <w:pPr>
        <w:spacing w:after="80" w:before="180" w:line="300"/>
      </w:pPr>
      <w:r>
        <w:rPr>
          <w:rFonts w:ascii="游ゴシック" w:cs="游ゴシック" w:eastAsia="游ゴシック" w:hAnsi="游ゴシック"/>
          <w:b w:val="1"/>
          <w:bCs w:val="1"/>
          <w:i w:val="false"/>
          <w:iCs w:val="false"/>
          <w:sz w:val="22"/>
          <w:szCs w:val="22"/>
        </w:rPr>
        <w:t xml:space="preserve">　▌ 成果指標（KPI）まとめ</w:t>
      </w:r>
    </w:p>
    <w:p>
      <w:pPr>
        <w:spacing w:after="80" w:before="50" w:line="320"/>
        <w:ind w:firstLine="200"/>
        <w:jc w:val="left"/>
      </w:pPr>
      <w:r>
        <w:rPr>
          <w:rFonts w:ascii="游ゴシック" w:cs="游ゴシック" w:eastAsia="游ゴシック" w:hAnsi="游ゴシック"/>
          <w:i w:val="false"/>
          <w:iCs w:val="false"/>
          <w:sz w:val="21"/>
          <w:szCs w:val="21"/>
        </w:rPr>
        <w:t xml:space="preserve">各施策のKPIのうち、調査によって把握できる指標の現状値は本版で確定しました。町の事業実績による指標（【町確認】）は、第9期実績一覧のご記入を経て確定します。目標値は策定委員会での協議事項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施策分野</w:t>
            </w:r>
          </w:p>
        </w:tc>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主要KPI候補</w:t>
            </w:r>
          </w:p>
        </w:tc>
        <w:tc>
          <w:tcPr>
            <w:tcW w:type="pct"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データソース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健康・介護予防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通いの場参加率／特定健診受診率／サポーター活動回数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町実績・アンケート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見守り・移動支援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ふれあいNW活動員数／移動支援3制度の周知度／外出に困っている高齢者割合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町実績・アンケート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在宅生活支援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在宅医療連携件数／レスパイト利用率／介護離職率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町実績・アンケート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人材・サービス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町内事業所職員数／処遇改善加算取得率／ICT導入事業所数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事業所照会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包括ケア深化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総合相談件数／自立支援型ケア会議開催数／成年後見利用件数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包括実績</w:t>
            </w:r>
          </w:p>
        </w:tc>
      </w:tr>
    </w:tbl>
    <w:p>
      <w:pPr>
        <w:pageBreakBefore/>
        <w:spacing w:after="0" w:before="0" w:line="240"/>
      </w:pPr>
      <w:r>
        <w:rPr>
          <w:rFonts w:ascii="游ゴシック" w:cs="游ゴシック" w:eastAsia="游ゴシック" w:hAnsi="游ゴシック"/>
          <w:i w:val="false"/>
          <w:iCs w:val="false"/>
          <w:sz w:val="21"/>
          <w:szCs w:val="21"/>
        </w:rPr>
        <w:t xml:space="preserve"/>
      </w:r>
    </w:p>
    <w:p>
      <w:pPr>
        <w:spacing w:after="0" w:before="240" w:line="320"/>
      </w:pPr>
      <w:r>
        <w:rPr>
          <w:rFonts w:ascii="游ゴシック" w:cs="游ゴシック" w:eastAsia="游ゴシック" w:hAnsi="游ゴシック"/>
          <w:b w:val="1"/>
          <w:bCs w:val="1"/>
          <w:i w:val="false"/>
          <w:iCs w:val="false"/>
          <w:sz w:val="30"/>
          <w:szCs w:val="30"/>
        </w:rPr>
        <w:t xml:space="preserve">第 6 章</w:t>
      </w:r>
    </w:p>
    <w:p>
      <w:pPr>
        <w:spacing w:after="140" w:before="0" w:line="320"/>
      </w:pPr>
      <w:r>
        <w:rPr>
          <w:rFonts w:ascii="游ゴシック" w:cs="游ゴシック" w:eastAsia="游ゴシック" w:hAnsi="游ゴシック"/>
          <w:b w:val="1"/>
          <w:bCs w:val="1"/>
          <w:i w:val="false"/>
          <w:iCs w:val="false"/>
          <w:sz w:val="30"/>
          <w:szCs w:val="30"/>
        </w:rPr>
        <w:t xml:space="preserve">認知症施策推進計画</w:t>
      </w:r>
    </w:p>
    <w:p>
      <w:pPr>
        <w:spacing w:after="200" w:before="200"/>
      </w:pPr>
      <w:r>
        <w:rPr>
          <w:rFonts w:ascii="游ゴシック" w:cs="游ゴシック" w:eastAsia="游ゴシック" w:hAnsi="游ゴシック"/>
          <w:i w:val="false"/>
          <w:iCs w:val="false"/>
          <w:sz w:val="21"/>
          <w:szCs w:val="21"/>
        </w:rPr>
        <w:t xml:space="preserve"/>
      </w:r>
    </w:p>
    <w:p>
      <w:pPr>
        <w:spacing w:after="80" w:before="50" w:line="320"/>
        <w:ind w:firstLine="200"/>
        <w:jc w:val="left"/>
      </w:pPr>
      <w:r>
        <w:rPr>
          <w:rFonts w:ascii="游ゴシック" w:cs="游ゴシック" w:eastAsia="游ゴシック" w:hAnsi="游ゴシック"/>
          <w:i w:val="false"/>
          <w:iCs w:val="false"/>
          <w:sz w:val="21"/>
          <w:szCs w:val="21"/>
        </w:rPr>
        <w:t xml:space="preserve">本章は、令和6年1月に施行された「共生社会の実現を推進するための認知症基本法」第13条に基づく市町村認知症施策推進計画として、本計画に独立章として位置付けるものです。</w:t>
      </w:r>
    </w:p>
    <w:p>
      <w:pPr>
        <w:spacing w:after="80" w:before="50" w:line="320"/>
        <w:ind w:firstLine="200"/>
        <w:jc w:val="left"/>
      </w:pPr>
      <w:r>
        <w:rPr>
          <w:rFonts w:ascii="游ゴシック" w:cs="游ゴシック" w:eastAsia="游ゴシック" w:hAnsi="游ゴシック"/>
          <w:i w:val="false"/>
          <w:iCs w:val="false"/>
          <w:sz w:val="21"/>
          <w:szCs w:val="21"/>
        </w:rPr>
        <w:t xml:space="preserve">認知症基本法は、認知症の人やその家族が暮らしやすい共生社会の実現を目的とし、市町村に対して認知症施策推進計画の策定を努力義務として課しています（第13条第1項）。市町村計画は、国の認知症施策推進基本計画及び都道府県計画を基本とするとともに、市町村の実情に即したものとすることとされています。また同条第2項により、市町村地域福祉計画（社会福祉法第107条第1項）、市町村老人福祉計画（老人福祉法第20条の8第1項）、市町村介護保険事業計画（介護保険法第117条第1項）その他認知症施策に関連する事項を定める計画と調和が保たれたものでなければなりません。本計画は、これらを一体の計画として策定することにより調和を確保します。宮城県の認知症施策推進計画の策定状況は確認中です［要確認］。</w:t>
      </w:r>
    </w:p>
    <w:p>
      <w:pPr>
        <w:spacing w:after="100" w:before="200" w:line="320"/>
      </w:pPr>
      <w:r>
        <w:rPr>
          <w:rFonts w:ascii="游ゴシック" w:cs="游ゴシック" w:eastAsia="游ゴシック" w:hAnsi="游ゴシック"/>
          <w:b w:val="1"/>
          <w:bCs w:val="1"/>
          <w:i w:val="false"/>
          <w:iCs w:val="false"/>
          <w:sz w:val="25"/>
          <w:szCs w:val="25"/>
        </w:rPr>
        <w:t>6-1　認知症基本法と川崎町の対応方針</w:t>
      </w:r>
    </w:p>
    <w:p>
      <w:pPr>
        <w:spacing w:after="80" w:before="180" w:line="300"/>
      </w:pPr>
      <w:r>
        <w:rPr>
          <w:rFonts w:ascii="游ゴシック" w:cs="游ゴシック" w:eastAsia="游ゴシック" w:hAnsi="游ゴシック"/>
          <w:b w:val="1"/>
          <w:bCs w:val="1"/>
          <w:i w:val="false"/>
          <w:iCs w:val="false"/>
          <w:sz w:val="22"/>
          <w:szCs w:val="22"/>
        </w:rPr>
        <w:t xml:space="preserve">　▌ 本町が目指す姿と「新しい認知症観」</w:t>
      </w:r>
    </w:p>
    <w:p>
      <w:pPr>
        <w:spacing w:after="80" w:before="50" w:line="320"/>
        <w:ind w:firstLine="200"/>
        <w:jc w:val="left"/>
      </w:pPr>
      <w:r>
        <w:rPr>
          <w:rFonts w:ascii="游ゴシック" w:cs="游ゴシック" w:eastAsia="游ゴシック" w:hAnsi="游ゴシック"/>
          <w:i w:val="false"/>
          <w:iCs w:val="false"/>
          <w:sz w:val="21"/>
          <w:szCs w:val="21"/>
        </w:rPr>
        <w:t xml:space="preserve">この計画は、認知症があっても住み慣れた地域で自分らしく暮らせる地域をつくるための手立てであり、計画をつくること自体が目的ではありません。厚生労働省「都道府県・市町村向け認知症施策推進計画策定の手引き」も、「計画策定」そのものが目的ではなく、地域の認知症の人と家族等の声を聴き、地域での課題を明らかにしたうえで認知症施策に反映させることが重要であるとしています。本章に掲げる目指す姿と施策の考え方は、担当職員が変わっても引き継がれるものとして定めます。</w:t>
      </w:r>
    </w:p>
    <w:p>
      <w:pPr>
        <w:spacing w:after="80" w:before="50" w:line="320"/>
        <w:ind w:firstLine="200"/>
        <w:jc w:val="left"/>
      </w:pPr>
      <w:r>
        <w:rPr>
          <w:rFonts w:ascii="游ゴシック" w:cs="游ゴシック" w:eastAsia="游ゴシック" w:hAnsi="游ゴシック"/>
          <w:i w:val="false"/>
          <w:iCs w:val="false"/>
          <w:sz w:val="21"/>
          <w:szCs w:val="21"/>
        </w:rPr>
        <w:t xml:space="preserve">▶ 本町が目指す姿　認知症になっても、これまでの暮らしを続けられる町。困りごとを相談できる人と場があり、支えられる側としてだけでなく、畑や地域の行事で役割を持ち続けられる町。家族が一人で抱え込まず、介護しながら自分の暮らしも続けられる町。そして、認知症の人と出会ったことのある町民が、「認知症になっても大丈夫だ」と思える町。</w:t>
      </w:r>
    </w:p>
    <w:p>
      <w:pPr>
        <w:spacing w:after="80" w:before="50" w:line="320"/>
        <w:ind w:firstLine="200"/>
        <w:jc w:val="left"/>
      </w:pPr>
      <w:r>
        <w:rPr>
          <w:rFonts w:ascii="游ゴシック" w:cs="游ゴシック" w:eastAsia="游ゴシック" w:hAnsi="游ゴシック"/>
          <w:i w:val="false"/>
          <w:iCs w:val="false"/>
          <w:sz w:val="21"/>
          <w:szCs w:val="21"/>
        </w:rPr>
        <w:t xml:space="preserve">この姿の土台にあるのが「新しい認知症観」です。認知症施策推進基本計画（令和6年12月）は、これを「認知症になったら何もできなくなるのではなく、認知症になってからも、一人一人が個人としてできること・やりたいことがあり、住み慣れた地域で仲間等とつながりながら、希望を持って自分らしく暮らし続けることができるという考え方」としています。本章の施策は、認知症の人を支援の対象としてのみ捉えるのではなく、ともに地域をつくる一員として捉えるこの考え方に立って組み立てます。</w:t>
      </w:r>
    </w:p>
    <w:p>
      <w:pPr>
        <w:spacing w:after="80" w:before="50" w:line="320"/>
        <w:ind w:firstLine="200"/>
        <w:jc w:val="left"/>
      </w:pPr>
      <w:r>
        <w:rPr>
          <w:rFonts w:ascii="游ゴシック" w:cs="游ゴシック" w:eastAsia="游ゴシック" w:hAnsi="游ゴシック"/>
          <w:i w:val="false"/>
          <w:iCs w:val="false"/>
          <w:sz w:val="21"/>
          <w:szCs w:val="21"/>
        </w:rPr>
        <w:t xml:space="preserve">手引きは、行政職員自身が「新しい認知症観」を実感として理解することがその第一歩であるとし、「まずは行政職員が、認知症の人と家族等の暮らしや活動の現場に出向き、認知症の人と家族等と対話し、意見を交換し合うこと、共に過ごすことを通じて、行政職員自身が自らの認知症観を変えていくことが重要」としています。本町では、次に述べる意見聴取のすべての回に町職員が出席します。</w:t>
      </w:r>
    </w:p>
    <w:p>
      <w:pPr>
        <w:spacing w:after="80" w:before="180" w:line="300"/>
      </w:pPr>
      <w:r>
        <w:rPr>
          <w:rFonts w:ascii="游ゴシック" w:cs="游ゴシック" w:eastAsia="游ゴシック" w:hAnsi="游ゴシック"/>
          <w:b w:val="1"/>
          <w:bCs w:val="1"/>
          <w:i w:val="false"/>
          <w:iCs w:val="false"/>
          <w:sz w:val="22"/>
          <w:szCs w:val="22"/>
        </w:rPr>
        <w:t xml:space="preserve">　▌ 認知症基本法の概要</w:t>
      </w:r>
    </w:p>
    <w:p>
      <w:pPr>
        <w:spacing w:after="80" w:before="50" w:line="320"/>
        <w:ind w:firstLine="200"/>
        <w:jc w:val="left"/>
      </w:pPr>
      <w:r>
        <w:rPr>
          <w:rFonts w:ascii="游ゴシック" w:cs="游ゴシック" w:eastAsia="游ゴシック" w:hAnsi="游ゴシック"/>
          <w:i w:val="false"/>
          <w:iCs w:val="false"/>
          <w:sz w:val="21"/>
          <w:szCs w:val="21"/>
        </w:rPr>
        <w:t xml:space="preserve">認知症基本法は、認知症の人がその尊厳を保持しつつ希望をもって暮らすことができるよう、認知症施策を総合的かつ計画的に推進することを目的とする法律です。基本理念として「全ての認知症の人が、基本的人権を享有する個人として、自らの意思によって日常生活及び社会生活を営むことができるようにすること」を含む7項目が掲げられています（第3条）。また、国民の間に広く認知症についての関心と理解を深めるため、9月21日を認知症の日、9月1日から30日までを認知症月間と定め、地方公共団体に対し、認知症の日にその趣旨にふさわしい事業を実施するよう努めること及び認知症月間にふさわしい行事が実施されるよう奨励することを求めています（第9条）。</w:t>
      </w:r>
    </w:p>
    <w:p>
      <w:pPr>
        <w:spacing w:after="80" w:before="180" w:line="300"/>
      </w:pPr>
      <w:r>
        <w:rPr>
          <w:rFonts w:ascii="游ゴシック" w:cs="游ゴシック" w:eastAsia="游ゴシック" w:hAnsi="游ゴシック"/>
          <w:b w:val="1"/>
          <w:bCs w:val="1"/>
          <w:i w:val="false"/>
          <w:iCs w:val="false"/>
          <w:sz w:val="22"/>
          <w:szCs w:val="22"/>
        </w:rPr>
        <w:t xml:space="preserve">　▌ 法が市町村に求めていること</w:t>
      </w:r>
    </w:p>
    <w:p>
      <w:pPr>
        <w:spacing w:after="80" w:before="50" w:line="320"/>
        <w:ind w:firstLine="200"/>
        <w:jc w:val="left"/>
      </w:pPr>
      <w:r>
        <w:rPr>
          <w:rFonts w:ascii="游ゴシック" w:cs="游ゴシック" w:eastAsia="游ゴシック" w:hAnsi="游ゴシック"/>
          <w:i w:val="false"/>
          <w:iCs w:val="false"/>
          <w:sz w:val="21"/>
          <w:szCs w:val="21"/>
        </w:rPr>
        <w:t xml:space="preserve">認知症基本法第13条は、市町村計画について第1項から第3項までを定め、第3項は都道府県計画に関する第12条第3項から第7項までを準用しています。市町村に求められているのは、計画の策定だけでなく、意見聴取・公表・実施状況の評価・少なくとも5年ごとの検討の一連の手続です。第9期計画では、このうち計画の策定以外は行っていませんでした。</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8"/>
        <w:gridCol w:w="126"/>
        <w:gridCol w:w="126"/>
      </w:tblGrid>
      <w:tr>
        <w:tc>
          <w:tcPr>
            <w:tcW w:type="dxa" w:w="4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根拠条項</w:t>
            </w:r>
          </w:p>
        </w:tc>
        <w:tc>
          <w:tcPr>
            <w:tcW w:type="dxa" w:w="12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市町村に求められていること</w:t>
            </w:r>
          </w:p>
        </w:tc>
        <w:tc>
          <w:tcPr>
            <w:tcW w:type="dxa" w:w="12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本計画での対応</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第13条第1項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基本計画及び都道府県計画を基本とするとともに、市町村の実情に即した市町村計画を策定する（努力義務）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本計画の第6章として策定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第13条第2項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市町村地域福祉計画・市町村老人福祉計画・市町村介護保険事業計画その他の計画と調和が保たれたものとする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高齢者保健福祉計画・介護保険事業計画と一体の計画として策定（第1章1-2）</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第13条第3項→</w:t>
              <w:br/>
              <w:t xml:space="preserve">第12条第3項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計画の案を作成しようとするときは、あらかじめ、認知症の人及び家族等の意見を聴く（努力義務）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令和8年10〜11月に地域包括支援センター・国保川崎病院経由で実施［要協議］</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第13条第3項→</w:t>
              <w:br/>
              <w:t xml:space="preserve">第12条第4項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計画を策定したときは、遅滞なく、インターネットの利用その他適切な方法により公表する（努力義務）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町ホームページ及び窓口で公表（第10章）</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第13条第3項→</w:t>
              <w:br/>
              <w:t xml:space="preserve">第12条第5項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適時に、計画に基づいて実施する施策の実施状況の評価を行い、その結果を公表する（努力義務）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毎年度の進行管理（PDCA）の中で評価し、結果を公表（第10章10-2・10-3）</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第13条第3項→</w:t>
              <w:br/>
              <w:t xml:space="preserve">第12条第6項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認知症に関する状況の変化を勘案し、施策の効果に関する評価を踏まえ、少なくとも5年ごとに検討を加える（努力義務）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介護保険事業計画の3年周期の見直しにより満たす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第13条第3項→</w:t>
              <w:br/>
              <w:t xml:space="preserve">第12条第7項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評価の結果の取りまとめを行おうとする場合に認知症の人及び家族等の意見を聴く。計画の変更についても意見聴取及び公表を行う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年次評価の取りまとめの前に意見を聴く仕組みを第10章に位置付け［要協議］</w:t>
            </w:r>
          </w:p>
        </w:tc>
      </w:tr>
    </w:tbl>
    <w:p>
      <w:pPr>
        <w:spacing w:after="80" w:before="180" w:line="300"/>
      </w:pPr>
      <w:r>
        <w:rPr>
          <w:rFonts w:ascii="游ゴシック" w:cs="游ゴシック" w:eastAsia="游ゴシック" w:hAnsi="游ゴシック"/>
          <w:b w:val="1"/>
          <w:bCs w:val="1"/>
          <w:i w:val="false"/>
          <w:iCs w:val="false"/>
          <w:sz w:val="22"/>
          <w:szCs w:val="22"/>
        </w:rPr>
        <w:t xml:space="preserve">　▌ 川崎町の対応方針</w:t>
      </w:r>
    </w:p>
    <w:p>
      <w:pPr>
        <w:spacing w:after="80" w:before="80" w:line="280"/>
        <w:ind w:left="288"/>
      </w:pPr>
      <w:r>
        <w:rPr>
          <w:rFonts w:ascii="游ゴシック" w:cs="游ゴシック" w:eastAsia="游ゴシック" w:hAnsi="游ゴシック"/>
          <w:b w:val="1"/>
          <w:bCs w:val="1"/>
          <w:i w:val="false"/>
          <w:iCs w:val="false"/>
          <w:sz w:val="20"/>
          <w:szCs w:val="20"/>
        </w:rPr>
        <w:t xml:space="preserve">● 第10期計画では、認知症基本法対応として基本目標6を新設し、独立章（第6章）として認知症施策推進計画を位置付ける。</w:t>
      </w:r>
    </w:p>
    <w:p>
      <w:pPr>
        <w:spacing w:after="40" w:before="40" w:line="300"/>
        <w:ind w:left="431"/>
      </w:pPr>
      <w:r>
        <w:rPr>
          <w:rFonts w:ascii="游ゴシック" w:cs="游ゴシック" w:eastAsia="游ゴシック" w:hAnsi="游ゴシック"/>
          <w:i w:val="false"/>
          <w:iCs w:val="false"/>
          <w:sz w:val="21"/>
          <w:szCs w:val="21"/>
        </w:rPr>
        <w:t xml:space="preserve">①　本人及び家族等の参画（基本法第13条第3項において準用する第12条第3項）：市町村計画の案を作成しようとするときは、あらかじめ、認知症の人及び家族等の意見を聴くよう努めなければならないとされています。ただし手引き3.1（2）は、「本人参画」とは「単に認知症の人の意見を集めること」が目的ではなく、「共生社会を創りだしていくために必要かつ意義のある施策や取組を、認知症の人の声をもとに、認知症の人の視点に立って、認知症の人と共に具体的に作り出し、着実に推進しながら、真の成果を生み出していくこと」であるとしています。そこで本町では、聴くことにとどめず、施策の立案・実施・評価の3段階に参画いただく仕組みとして「認知症の人及び家族等からの意見聴取の記録様式」を定め、聴いた声を地域の課題に読み替えて施策に反映し、反映した結果を本人・家族にお返しするところまでを記録します（様式は別冊「様式集」に掲げ、計画書には聴取の結果の要約を掲げます）。この手続は、介護保険保険者努力支援交付金 目標Ⅱ（ⅰ）1のカ「認知症の人及び家族等の意見を踏まえた市町村認知症施策推進計画の策定に着手している」（配点5点・全国の得点率42.8％）に対応するものであり、その留意点は「認知症の人と家族等が参画し、意見を反映させる仕組みを整備した上で計画の策定に着手している場合に評価の対象とする」としています。本町は同項目のア〜オ（20点）をすべて満点で得ている一方、カのみ令和8年度0点です。⚠ 様式を定めることのみで得点が確定するものではありません。様式及び運用手順を定め、認知症の人及び家族等の参画、意見の反映、策定への着手の実績と証跡が確認できた場合に、評価の対象となる可能性があるものです。実際の評価は国の該当状況調査に対する町の回答によります（第3章3-3）。</w:t>
      </w:r>
      <w:r>
        <w:rPr>
          <w:rFonts w:ascii="游ゴシック" w:cs="游ゴシック" w:eastAsia="游ゴシック" w:hAnsi="游ゴシック"/>
          <w:i w:val="false"/>
          <w:iCs w:val="false"/>
          <w:sz w:val="21"/>
          <w:szCs w:val="21"/>
        </w:rPr>
        <w:t xml:space="preserve"/>
      </w:r>
    </w:p>
    <w:p>
      <w:pPr>
        <w:spacing w:after="40" w:before="40" w:line="300"/>
        <w:ind w:left="431"/>
      </w:pPr>
      <w:r>
        <w:rPr>
          <w:rFonts w:ascii="游ゴシック" w:cs="游ゴシック" w:eastAsia="游ゴシック" w:hAnsi="游ゴシック"/>
          <w:i w:val="false"/>
          <w:iCs w:val="false"/>
          <w:sz w:val="21"/>
          <w:szCs w:val="21"/>
        </w:rPr>
        <w:t xml:space="preserve">②　</w:t>
      </w:r>
      <w:r>
        <w:rPr>
          <w:rFonts w:ascii="游ゴシック" w:cs="游ゴシック" w:eastAsia="游ゴシック" w:hAnsi="游ゴシック"/>
          <w:i w:val="false"/>
          <w:iCs w:val="false"/>
          <w:sz w:val="21"/>
          <w:szCs w:val="21"/>
        </w:rPr>
        <w:t xml:space="preserve">共生社会の実現：認知症があっても住み慣れた地域で自分らしく暮らせる地域づくり（サブタイトル「〜認知症になっても誰もが自分らしく暮らせる地域共生社会の実現〜」）</w:t>
      </w:r>
    </w:p>
    <w:p>
      <w:pPr>
        <w:spacing w:after="40" w:before="40" w:line="300"/>
        <w:ind w:left="431"/>
      </w:pPr>
      <w:r>
        <w:rPr>
          <w:rFonts w:ascii="游ゴシック" w:cs="游ゴシック" w:eastAsia="游ゴシック" w:hAnsi="游ゴシック"/>
          <w:i w:val="false"/>
          <w:iCs w:val="false"/>
          <w:sz w:val="21"/>
          <w:szCs w:val="21"/>
        </w:rPr>
        <w:t xml:space="preserve">③　8基本的施策の体系化：基本法第14条から第21条までの8つの基本的施策に対応した町施策の体系化</w:t>
      </w:r>
      <w:r>
        <w:rPr>
          <w:rFonts w:ascii="游ゴシック" w:cs="游ゴシック" w:eastAsia="游ゴシック" w:hAnsi="游ゴシック"/>
          <w:i w:val="false"/>
          <w:iCs w:val="false"/>
          <w:sz w:val="21"/>
          <w:szCs w:val="21"/>
        </w:rPr>
        <w:t xml:space="preserve"/>
      </w:r>
    </w:p>
    <w:p>
      <w:pPr>
        <w:spacing w:after="40" w:before="40" w:line="300"/>
        <w:ind w:left="431"/>
      </w:pPr>
      <w:r>
        <w:rPr>
          <w:rFonts w:ascii="游ゴシック" w:cs="游ゴシック" w:eastAsia="游ゴシック" w:hAnsi="游ゴシック"/>
          <w:i w:val="false"/>
          <w:iCs w:val="false"/>
          <w:sz w:val="21"/>
          <w:szCs w:val="21"/>
        </w:rPr>
        <w:t xml:space="preserve">④　</w:t>
      </w:r>
      <w:r>
        <w:rPr>
          <w:rFonts w:ascii="游ゴシック" w:cs="游ゴシック" w:eastAsia="游ゴシック" w:hAnsi="游ゴシック"/>
          <w:i w:val="false"/>
          <w:iCs w:val="false"/>
          <w:sz w:val="21"/>
          <w:szCs w:val="21"/>
        </w:rPr>
        <w:t xml:space="preserve">KPIの3層構造化：プロセス（活動量）・アウトプット（成果物）・アウトカム（住民の変化）の3層でKPIを設定</w:t>
      </w:r>
    </w:p>
    <w:p>
      <w:pPr>
        <w:spacing w:after="80" w:before="50" w:line="320"/>
        <w:ind w:firstLine="200"/>
        <w:jc w:val="left"/>
      </w:pPr>
      <w:r>
        <w:rPr>
          <w:rFonts w:ascii="游ゴシック" w:cs="游ゴシック" w:eastAsia="游ゴシック" w:hAnsi="游ゴシック"/>
          <w:i w:val="false"/>
          <w:iCs w:val="false"/>
          <w:sz w:val="21"/>
          <w:szCs w:val="21"/>
        </w:rPr>
        <w:t xml:space="preserve">⚠ 基本法第13条第3項において準用する第12条第5項は「適時に」評価を行うことを定めており、毎年度の評価を義務付けているものではありません。本計画が毎年度の評価と意見聴取を行うのは、介護保険事業計画の進行管理（第10章10-2）と一体で行うための本町独自の運用方針です。</w:t>
      </w:r>
    </w:p>
    <w:p>
      <w:pPr>
        <w:spacing w:after="80" w:before="180" w:line="300"/>
      </w:pPr>
      <w:r>
        <w:rPr>
          <w:rFonts w:ascii="游ゴシック" w:cs="游ゴシック" w:eastAsia="游ゴシック" w:hAnsi="游ゴシック"/>
          <w:b w:val="1"/>
          <w:bCs w:val="1"/>
          <w:i w:val="false"/>
          <w:iCs w:val="false"/>
          <w:sz w:val="22"/>
          <w:szCs w:val="22"/>
        </w:rPr>
        <w:t xml:space="preserve">　▌ 本人参画の進め方</w:t>
      </w:r>
    </w:p>
    <w:p>
      <w:pPr>
        <w:spacing w:after="80" w:before="50" w:line="320"/>
        <w:ind w:firstLine="200"/>
        <w:jc w:val="left"/>
      </w:pPr>
      <w:r>
        <w:rPr>
          <w:rFonts w:ascii="游ゴシック" w:cs="游ゴシック" w:eastAsia="游ゴシック" w:hAnsi="游ゴシック"/>
          <w:i w:val="false"/>
          <w:iCs w:val="false"/>
          <w:sz w:val="21"/>
          <w:szCs w:val="21"/>
        </w:rPr>
        <w:t xml:space="preserve">認知症の人及び家族等の参画を、施策の立案・実施・評価の3段階で次のとおり進めます。聴き方は、厚生労働省老人保健健康増進等事業「認知症の本人の声を施策・事業運営に活かしていくためのヒント」（令和7年度）に倣い、「何がしたいですか」と問う形ではなく、認知症カフェ・もの忘れ相談・チームオレンジの活動など本人がいつも過ごしている場に町職員が出向き、共に過ごすなかで語られる言葉を記録する形と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8"/>
        <w:gridCol w:w="138"/>
        <w:gridCol w:w="114"/>
      </w:tblGrid>
      <w:tr>
        <w:tc>
          <w:tcPr>
            <w:tcW w:type="dxa" w:w="4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段階</w:t>
            </w:r>
          </w:p>
        </w:tc>
        <w:tc>
          <w:tcPr>
            <w:tcW w:type="dxa" w:w="1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誰が、何をするか</w:t>
            </w:r>
          </w:p>
        </w:tc>
        <w:tc>
          <w:tcPr>
            <w:tcW w:type="dxa" w:w="1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記録の様式と本計画での位置</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立案（第10期計画の策定）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カフェ「喫茶みかん」・もの忘れ相談・認知症初期集中支援チームの訪問先・チームオレンジの活動の場・家族介護者の交流の場・国民健康保険川崎病院の6つの場に、保健福祉課の職員と地域包括支援センターの職員が出向いて聴く（令和8年10〜11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様式1（実施計画）・様式2（記録票）・様式3（反映台帳）／6-4第1節1（1）認知症の人及びその家族等からの意見聴取</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実施（計画期間中）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認知症本人ミーティングを新設し、保健福祉課の職員が参画する。本人同士が語り合う場として毎回記録し、一人の「やりたい」を既存の事業の見直しによって叶えることから始める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様式2・様式3・様式4（フィードバック記録）／6-4第5節1（1）認知症本人ミーティングの開催</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評価（毎年度）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実施状況の評価結果を取りまとめる前に、本人ミーティング及び認知症カフェで「変わったこと・変わらなかったこと」を聴き、評価の記述に反映する（基本法第13条第3項において準用する第12条第7項）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様式5（評価時の意見聴取）／第10章10-2・10-3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還す（各段階）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聴いた声をどう扱ったかを本人・家族にお返しする。活動の様子は本人の同意を得た写真等で家族にもお返しする。取り上げられなかった声についても、その理由をお返しする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様式4／6-4第5節3（2）意見聴取の結果の施策への反映</w:t>
            </w:r>
          </w:p>
        </w:tc>
      </w:tr>
    </w:tbl>
    <w:p>
      <w:pPr>
        <w:spacing w:after="80" w:before="50" w:line="320"/>
        <w:ind w:firstLine="200"/>
        <w:jc w:val="left"/>
      </w:pPr>
      <w:r>
        <w:rPr>
          <w:rFonts w:ascii="游ゴシック" w:cs="游ゴシック" w:eastAsia="游ゴシック" w:hAnsi="游ゴシック"/>
          <w:i w:val="false"/>
          <w:iCs w:val="false"/>
          <w:sz w:val="21"/>
          <w:szCs w:val="21"/>
        </w:rPr>
        <w:t xml:space="preserve">⚠ 意見聴取に当たっては、次のことを対象となる方にあらかじめお伝えし、同意を得たうえで行います。①参加されない場合も、また途中でおやめになる場合も、相談・医療・介護サービスの利用に一切影響しないこと。②聴いた内容は本計画及び町の認知症施策の検討にのみ用い、町の関係課・策定委員会・地域ケア会議に要約の形で共有すること。③計画書及び町ホームページには、個人が特定されない形の要約のみを掲げること。④写真・録画・録音及び引用については、その都度個別に同意を得ること。⑤いつでも同意を撤回でき、撤回された場合は当該の記録を廃棄すること。記録票には氏名を記載せず整理番号（本人Ａ・家族Ａ等）で管理しますが、対照表により個人を再び特定できるため、記録票及び対照表は個人情報として取り扱い、保健福祉課が施錠して保管し、アクセスできる者を担当職員に限り、保管期限（第11期計画の策定完了までを想定）の経過後に廃棄します。本人の意思と家族等の意見は、同じ場で聴いた場合も欄を分けて記録します。国民健康保険川崎病院の外来や相談の場で聴く場合は、診療・相談の待ち時間を用いることの任意性を特にご配慮いただきます。以上の運用は町と協議のうえ確定します［要協議・確認事項No.146］。</w:t>
      </w:r>
    </w:p>
    <w:p>
      <w:pPr>
        <w:spacing w:after="80" w:before="180" w:line="300"/>
      </w:pPr>
      <w:r>
        <w:rPr>
          <w:rFonts w:ascii="游ゴシック" w:cs="游ゴシック" w:eastAsia="游ゴシック" w:hAnsi="游ゴシック"/>
          <w:b w:val="1"/>
          <w:bCs w:val="1"/>
          <w:i w:val="false"/>
          <w:iCs w:val="false"/>
          <w:sz w:val="22"/>
          <w:szCs w:val="22"/>
        </w:rPr>
        <w:t xml:space="preserve">　▌ 庁内の部署横断的な検討の場</w:t>
      </w:r>
    </w:p>
    <w:p>
      <w:pPr>
        <w:spacing w:after="80" w:before="50" w:line="320"/>
        <w:ind w:firstLine="200"/>
        <w:jc w:val="left"/>
      </w:pPr>
      <w:r>
        <w:rPr>
          <w:rFonts w:ascii="游ゴシック" w:cs="游ゴシック" w:eastAsia="游ゴシック" w:hAnsi="游ゴシック"/>
          <w:i w:val="false"/>
          <w:iCs w:val="false"/>
          <w:sz w:val="21"/>
          <w:szCs w:val="21"/>
        </w:rPr>
        <w:t xml:space="preserve">認知症施策は保健福祉課だけで完結しません。本章及び第5章に掲げる認知症関係の事業の所管には、保健福祉課・地域包括支援センターのほか、町民生活課（交通の安全の確保・消費者被害の防止）、地域振興課（移動のための交通手段の確保）、企画課（若年性認知症の人の就労）、教育委員会（学校における認知症サポーターの養成）、総務担当課（災害時の高齢者支援）、社会福祉協議会・民生委員が現れます。手引き3.1（4）は部署横断的な対応を求めており、認知症施策推進基本計画のKPIも「部署横断的に認知症施策の検討を実施している地方公共団体の数」を重点目標3のプロセス指標として掲げています。</w:t>
      </w:r>
    </w:p>
    <w:p>
      <w:pPr>
        <w:spacing w:after="80" w:before="50" w:line="320"/>
        <w:ind w:firstLine="200"/>
        <w:jc w:val="left"/>
      </w:pPr>
      <w:r>
        <w:rPr>
          <w:rFonts w:ascii="游ゴシック" w:cs="游ゴシック" w:eastAsia="游ゴシック" w:hAnsi="游ゴシック"/>
          <w:i w:val="false"/>
          <w:iCs w:val="false"/>
          <w:sz w:val="21"/>
          <w:szCs w:val="21"/>
        </w:rPr>
        <w:t xml:space="preserve">そこで本町では、これらの関係課を集めた認知症施策の検討の場を年1回以上設けます。この場は、保険者機能強化推進交付金の評価指標「評価結果の活用」のア（年に1回以上、評価結果を庁内の関係者間で説明・共有する場がある。配点4点・本町は令和8年度0点）が求める場と兼ねることができ、新たな会議体を設けずに、既存の庁内会議に議題を加えることで足ります（第8章8-4・第10章10-4）。</w:t>
      </w:r>
    </w:p>
    <w:p>
      <w:pPr>
        <w:spacing w:after="80" w:before="180" w:line="300"/>
      </w:pPr>
      <w:r>
        <w:rPr>
          <w:rFonts w:ascii="游ゴシック" w:cs="游ゴシック" w:eastAsia="游ゴシック" w:hAnsi="游ゴシック"/>
          <w:b w:val="1"/>
          <w:bCs w:val="1"/>
          <w:i w:val="false"/>
          <w:iCs w:val="false"/>
          <w:sz w:val="22"/>
          <w:szCs w:val="22"/>
        </w:rPr>
        <w:t xml:space="preserve">　▌ 他の計画との連動</w:t>
      </w:r>
    </w:p>
    <w:p>
      <w:pPr>
        <w:spacing w:after="80" w:before="50" w:line="320"/>
        <w:ind w:firstLine="200"/>
        <w:jc w:val="left"/>
      </w:pPr>
      <w:r>
        <w:rPr>
          <w:rFonts w:ascii="游ゴシック" w:cs="游ゴシック" w:eastAsia="游ゴシック" w:hAnsi="游ゴシック"/>
          <w:i w:val="false"/>
          <w:iCs w:val="false"/>
          <w:sz w:val="21"/>
          <w:szCs w:val="21"/>
        </w:rPr>
        <w:t xml:space="preserve">基本法第13条第2項が調和を求めるのは、市町村地域福祉計画・市町村老人福祉計画・市町村介護保険事業計画その他認知症施策に関連する事項を定める計画です。手引き3.1（3）は、これらとの整合はもとより、総合計画・健康関連計画・子育て関連計画・教育関連計画・都市再生・交通計画・防災関連計画といった町の各種計画との連動・連携も意識することが重要であるとしています。本町の認知症施策と各計画との連動は次のとおり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8"/>
        <w:gridCol w:w="144"/>
        <w:gridCol w:w="78"/>
      </w:tblGrid>
      <w:tr>
        <w:tc>
          <w:tcPr>
            <w:tcW w:type="dxa" w:w="7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計画・分野</w:t>
            </w:r>
          </w:p>
        </w:tc>
        <w:tc>
          <w:tcPr>
            <w:tcW w:type="dxa" w:w="14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連動のさせ方</w:t>
            </w:r>
          </w:p>
        </w:tc>
        <w:tc>
          <w:tcPr>
            <w:tcW w:type="dxa" w:w="7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本計画での位置</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川崎町高齢者保健福祉計画・介護保険事業計画（本計画）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認知症施策推進計画を本計画の独立章（第6章）として一体的に策定する。基本法第13条第2項の調和を計画の一体化により確保する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第1章1-2・第6章</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川崎町地域福祉計画（第3期）・川崎町障害者計画（同時策定）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重層的支援体制整備事業との連動、成年後見制度の利用促進、日常生活自立支援事業、移送サービスを共通の論点として整理する（両計画はジャパン総研が策定）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第1章1-2・5-4第2節1（8）・6-4第5節2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第6次川崎町長期総合計画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基本方針「子供も大人も誰もが健やかに暮らせるまちづくり」との整合を確保し、認知症の人を含む共生社会の実現を町のまちづくりの方針の中に位置付ける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第1章1-2・第4章</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健康増進計画・特定健診等実施計画（健康関連）</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難聴の早期発見・早期介入、生活習慣病対策、口腔機能の維持・向上、フレイル予防を認知症の予防等（法第21条）と一体で進める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5-1・6-4第2節</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学校教育（教育関連）</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小中学校における認知症サポーターの養成を、認知症の人の参画も得ながら進める。教育委員会と連携する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6-4第4節1（4）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地域公共交通に関する計画（交通）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福祉移送サービス・デマンドバス・外出支援の3制度により、認知症の人が通いの場や相談の場に通える移動手段を確保する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5-3・6-4第3節1（7）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地域防災計画・避難行動要支援者名簿（防災）</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認知症の人を避難行動要支援者名簿及び個別避難計画の対象として位置付ける。調査で確かめた転倒経験・転倒不安の高さを優先度の検討に活かす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5-2第2節・6-4第3節</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過疎地域持続的発展市町村計画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認知症施策のうち財源を要するものについて、過疎債ソフト分の活用の可否を検討する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第9章・第10章</w:t>
            </w:r>
          </w:p>
        </w:tc>
      </w:tr>
    </w:tbl>
    <w:p>
      <w:pPr>
        <w:spacing w:after="100" w:before="200" w:line="320"/>
      </w:pPr>
      <w:r>
        <w:rPr>
          <w:rFonts w:ascii="游ゴシック" w:cs="游ゴシック" w:eastAsia="游ゴシック" w:hAnsi="游ゴシック"/>
          <w:b w:val="1"/>
          <w:bCs w:val="1"/>
          <w:i w:val="false"/>
          <w:iCs w:val="false"/>
          <w:sz w:val="25"/>
          <w:szCs w:val="25"/>
        </w:rPr>
        <w:t xml:space="preserve">6-2　認知症施策の体系（8基本的施策）</w:t>
      </w:r>
    </w:p>
    <w:p>
      <w:pPr>
        <w:spacing w:after="80" w:before="50" w:line="320"/>
        <w:ind w:firstLine="200"/>
        <w:jc w:val="left"/>
      </w:pPr>
      <w:r>
        <w:rPr>
          <w:rFonts w:ascii="游ゴシック" w:cs="游ゴシック" w:eastAsia="游ゴシック" w:hAnsi="游ゴシック"/>
          <w:i w:val="false"/>
          <w:iCs w:val="false"/>
          <w:sz w:val="21"/>
          <w:szCs w:val="21"/>
        </w:rPr>
        <w:t xml:space="preserve">認知症基本法第14条から第21条までの8つの基本的施策と、川崎町の対応施策を以下のとおり対応付けます。同法第3章（基本的施策）は第14条から第25条までの12条で構成されていますが、第14条から第21条までが「国及び地方公共団体は」を主語とするのに対し、第22条から第25条まで（調査の実施・多様な主体の連携・地方公共団体に対する支援・国際協力）は「国は」を主語としており、市町村が計画に位置付ける施策ではないため本表には掲げていません。厚生労働省の同法の概要も、基本的施策を8項目とし、第22条以降を「※その他」として区別し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条文</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基本的施策（条文が例示する手立て）</w:t>
            </w:r>
          </w:p>
        </w:tc>
        <w:tc>
          <w:tcPr>
            <w:tcW w:type="pct" w:w="6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川崎町の対応</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第14条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認知症の人に関する国民の理解の増進等</w:t>
              <w:br/>
              <w:t xml:space="preserve">（学校教育・社会教育における認知症教育の推進、正しい理解を深めるための運動の展開）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サポーター養成講座の継続（令和7年3月31日577人。町提供データの累計は642人・確認中）。小中学校・企業でのサポーター養成の拡大。認知症の日（9月21日）・認知症月間（9月1日〜30日）の事業及び行事（第9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第15条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認知症の人の生活におけるバリアフリー化の推進</w:t>
              <w:br/>
              <w:t xml:space="preserve">（移動のための交通手段の確保、交通の安全の確保、地域において認知症の人を見守るための体制の整備。第2項は事業者との連携による製品・サービスの開発普及等）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移動支援3制度（福祉移送サービス・デマンドバス・外出支援）による交通手段の確保。ユニバーサルサポーター制度による地域の見守り体制。公共交通事業者等・金融機関・小売業者等への協力の働きかけ（第7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第16条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認知症の人の社会参加の機会の確保等</w:t>
              <w:br/>
              <w:t xml:space="preserve">（認知症に係る経験等を共有できる機会の確保、社会参加の機会の確保。第2項は若年性認知症の人等の雇用の継続・円滑な就職）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認知症カフェ「喫茶みかん」の運営継続（年47回・延235人）。チームオレンジの活動の充実。認知症本人ミーティングの新設。若年性認知症の人の就労に関する事業主への啓発［要協議］</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第17条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認知症の人の意思決定の支援及び権利利益の保護</w:t>
              <w:br/>
              <w:t xml:space="preserve">（意思決定支援に関する指針の策定、分かりやすい形での情報提供、消費生活における被害を防止するための啓発）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成年後見制度の利用促進、日常生活自立支援事業の活用、意思決定支援研修の実施、消費者被害の防止の啓発</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第18条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保健医療サービス及び福祉サービスの提供体制の整備等</w:t>
              <w:br/>
              <w:t xml:space="preserve">（居住する地域にかかわらず等しく適切な医療、地域包括ケアシステムを通じた適時かつ切れ目のない提供、専門的知識・技術を有する人材の確保・養成）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国保川崎病院との連携強化。認知症対応型共同生活介護の必要利用定員総数の確保（第9章9-1）。認知症地域支援推進員の配置（令和6年度の業務の種類は6・全国平均5.27。人数は確認中［要確認］）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第19条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相談体制の整備等</w:t>
              <w:br/>
              <w:t xml:space="preserve">（関係機関・民間団体相互の有機的連携の下での総合的な相談体制、認知症の人又は家族等が孤立しないための交流活動への支援）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地域包括支援センター（社協運営）における認知症相談窓口の充実、もの忘れ相談の継続（年12回）。窓口の認知度47.7％の向上。家族介護者の交流の場の確保</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第20条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研究等の推進等</w:t>
              <w:br/>
              <w:t xml:space="preserve">（本態解明・予防・診断・治療等の研究、社会参加の在り方等の調査研究と成果の活用）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国の研究成果の活用と普及。認知症の人及び家族等の意見聴取の結果の施策への反映</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第21条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認知症の予防等</w:t>
              <w:br/>
              <w:t xml:space="preserve">（希望する者が科学的知見に基づく予防に取り組めるようにする施策、早期発見・早期診断・早期対応の推進のための地域包括支援センター・医療機関・民間団体等の連携協力体制の整備）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通いの場・介護予防事業を通じた予防の啓発と地域における活動の推進。認知症初期集中支援チームによる早期対応（地域包括支援センター・国保川崎病院・民間団体の連携協力体制）。もの忘れ相談による早期発見</w:t>
            </w:r>
          </w:p>
        </w:tc>
      </w:tr>
    </w:tbl>
    <w:p>
      <w:pPr>
        <w:spacing w:after="80" w:before="50" w:line="320"/>
        <w:ind w:firstLine="200"/>
        <w:jc w:val="left"/>
      </w:pPr>
      <w:r>
        <w:rPr>
          <w:rFonts w:ascii="游ゴシック" w:cs="游ゴシック" w:eastAsia="游ゴシック" w:hAnsi="游ゴシック"/>
          <w:i w:val="false"/>
          <w:iCs w:val="false"/>
          <w:sz w:val="21"/>
          <w:szCs w:val="21"/>
        </w:rPr>
        <w:t xml:space="preserve">⚠ 手引き3.1（3）は「基本計画に記載されている全ての施策を実施する必要があるわけではなく、各地域における目指すべき姿の実現のために必要な施策を検討することが重要」としています。手引き3.4（1）の施策対応表のうち主な対応主体に市町村が含まれるものは47項目ありますが、本町の規模及び地域資源から、第10期では次の6項目に対応する事業を設けません。①司法職員に対する働きかけ　②高齢者に対するスマートフォンの活用の推進（見守りＱＲコード活用事業が実質的な代替となります）③高齢者等終身サポート事業者ガイドラインの周知（町内に該当する事業者がない見込み）④居住支援法人・居住支援協議会の取組の支援（宮城県の所管であり、地域福祉計画との整合の中で扱います）⑤認知症リハビリテーションの推進（通所・訪問リハビリテーションの中で扱います）⑥精神科病院からの早期の地域移行（町内に精神科病院はなく、町外施設利用・住所地特例への対応の中で把握します）。これらは、必要が生じた場合に計画期間中に追加します。</w:t>
      </w:r>
    </w:p>
    <w:p>
      <w:pPr>
        <w:spacing w:after="100" w:before="200" w:line="320"/>
      </w:pPr>
      <w:r>
        <w:rPr>
          <w:rFonts w:ascii="游ゴシック" w:cs="游ゴシック" w:eastAsia="游ゴシック" w:hAnsi="游ゴシック"/>
          <w:b w:val="1"/>
          <w:bCs w:val="1"/>
          <w:i w:val="false"/>
          <w:iCs w:val="false"/>
          <w:sz w:val="25"/>
          <w:szCs w:val="25"/>
        </w:rPr>
        <w:t>6-3　重点施策とKPI</w:t>
      </w:r>
    </w:p>
    <w:p>
      <w:pPr>
        <w:spacing w:after="80" w:before="50" w:line="320"/>
        <w:ind w:firstLine="200"/>
        <w:jc w:val="left"/>
      </w:pPr>
      <w:r>
        <w:rPr>
          <w:rFonts w:ascii="游ゴシック" w:cs="游ゴシック" w:eastAsia="游ゴシック" w:hAnsi="游ゴシック"/>
          <w:i w:val="false"/>
          <w:iCs w:val="false"/>
          <w:sz w:val="21"/>
          <w:szCs w:val="21"/>
        </w:rPr>
        <w:t xml:space="preserve">認知症基本法の8つの基本的施策（第14条〜第21条）を踏まえつつ、本町の地域資源・体制・現状を勘案して、第10期計画期間中に重点的に取り組む施策を5本柱として位置付けます。これらは、認知症サポーター・キャラバンメイトの養成実績、認知症カフェ「喫茶みかん」の運営実績、初期集中支援チームの稼働等、本町がこれまで積み上げてきた基盤を活かしつつ、本人ミーティング等を新規に加えることで、認知症の人本人・家族への包括的支援を実現する構成です。</w:t>
      </w:r>
    </w:p>
    <w:p>
      <w:pPr>
        <w:spacing w:after="80" w:before="180" w:line="300"/>
      </w:pPr>
      <w:r>
        <w:rPr>
          <w:rFonts w:ascii="游ゴシック" w:cs="游ゴシック" w:eastAsia="游ゴシック" w:hAnsi="游ゴシック"/>
          <w:b w:val="1"/>
          <w:bCs w:val="1"/>
          <w:i w:val="false"/>
          <w:iCs w:val="false"/>
          <w:sz w:val="22"/>
          <w:szCs w:val="22"/>
        </w:rPr>
        <w:t xml:space="preserve">　▌ 第9期からの見直し</w:t>
      </w:r>
    </w:p>
    <w:p>
      <w:pPr>
        <w:spacing w:after="80" w:before="50" w:line="320"/>
        <w:ind w:firstLine="200"/>
        <w:jc w:val="left"/>
      </w:pPr>
      <w:r>
        <w:rPr>
          <w:rFonts w:ascii="游ゴシック" w:cs="游ゴシック" w:eastAsia="游ゴシック" w:hAnsi="游ゴシック"/>
          <w:i w:val="false"/>
          <w:iCs w:val="false"/>
          <w:sz w:val="21"/>
          <w:szCs w:val="21"/>
        </w:rPr>
        <w:t xml:space="preserve">手引き3.1（3）は、介護保険事業計画等と一体的に策定する場合、第9期計画の評価・見直しの段階から手引きの留意事項を踏まえることが重要であるとしています。第9期の認知症施策から次の4点を見直します。①第9期は認知症基本法第13条が求める手続のうち計画の策定以外（意見聴取・公表・実施状況の評価・少なくとも5年ごとの検討）を行っていませんでした。第10期は6-4第1節に5事業として位置付けます。②認知症の日（9月21日）・認知症月間（9月）に対応する取組がありませんでした（基本法第9条）。第10期は6-4第6節に2事業として位置付けます。③認知症サポーターの人数を増やすことに置いていた重点を、ステップアップ講座を修了した担い手（27人・全国188位）の活動の場の確保に移します。④認知症初期集中支援チームの訪問件数が令和5年度80件から令和7年度見込12件へ減少しています。件数の回復だけを目標とするのではなく、独居や身寄りのない方・複合的な課題を抱えた世帯への支援にチームの働きを向け直します。</w:t>
      </w:r>
    </w:p>
    <w:p>
      <w:pPr>
        <w:spacing w:after="80" w:before="180" w:line="300"/>
      </w:pPr>
      <w:r>
        <w:rPr>
          <w:rFonts w:ascii="游ゴシック" w:cs="游ゴシック" w:eastAsia="游ゴシック" w:hAnsi="游ゴシック"/>
          <w:b w:val="1"/>
          <w:bCs w:val="1"/>
          <w:i w:val="false"/>
          <w:iCs w:val="false"/>
          <w:sz w:val="22"/>
          <w:szCs w:val="22"/>
        </w:rPr>
        <w:t xml:space="preserve">　▌ 重点施策（5本柱）</w:t>
      </w:r>
    </w:p>
    <w:p>
      <w:pPr>
        <w:spacing w:after="80" w:before="50" w:line="320"/>
        <w:ind w:firstLine="200"/>
        <w:jc w:val="left"/>
      </w:pPr>
      <w:r>
        <w:rPr>
          <w:rFonts w:ascii="游ゴシック" w:cs="游ゴシック" w:eastAsia="游ゴシック" w:hAnsi="游ゴシック"/>
          <w:i w:val="false"/>
          <w:iCs w:val="false"/>
          <w:sz w:val="21"/>
          <w:szCs w:val="21"/>
        </w:rPr>
        <w:t xml:space="preserve">J-1（サポーター拡大）とJ-3（認知症カフェ等）は既存施策の質的拡充、J-2（チームオレンジ）は令和6年度に整備されたチームの活動の充実、J-3の本人ミーティングは基本法対応の新規整備、J-4（早期発見・対応）とJ-5（医療連携）は本町の医療資源（国民健康保険川崎病院）を活かした体制強化として位置付けます。J-4は、認知症基本法第21条第2項が定める「早期発見、早期診断及び早期対応を推進するための地域包括支援センター、医療機関、民間団体等の間における連携協力体制の整備」に当たります。認知症初期集中支援チームの訪問件数が令和5年度80件から令和7年度見込12件へ減少していることを踏まえ、活動量の回復を含めて検討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No</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重点施策</w:t>
            </w:r>
          </w:p>
        </w:tc>
        <w:tc>
          <w:tcPr>
            <w:tcW w:type="pct"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J-1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認知症サポーターの拡大と質向上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サポーター（令和7年3月31日577人・交付金の集計）を基盤に、企業・学校サポーターを増やし、活動の質を向上。ステップアップ講座修了者27人（全国188位）の活動の場を確保。キャラバンメイト（累計80名）の活動の場を確保</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J-2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チームオレンジの活動の充実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令和6年度に整備したチームオレンジについて、チーム数・メンバー数・支援した認知症の人の数で活動を管理し、本人・家族支援を実践［要確認］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J-3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認知症カフェ・本人ミーティング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認知症カフェ「喫茶みかん」の運営継続（年47回）。認知症本人ミーティングの新設。認知症の日・認知症月間の行事（第9条）と併せて実施</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J-4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早期発見・早期対応の体制強化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認知症初期集中支援チームの活動量の回復（訪問件数 令和5年度80件→令和7年度見込12件）、認知症地域支援推進員の配置、もの忘れ相談の継続。基本法第21条第2項の連携協力体制の整備に当たる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J-5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国保川崎病院との医療連携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認知症診断・治療における国保川崎病院との連携、認知症初期段階からの医療フォロー</w:t>
            </w:r>
          </w:p>
        </w:tc>
      </w:tr>
    </w:tbl>
    <w:p>
      <w:pPr>
        <w:spacing w:after="80" w:before="180" w:line="300"/>
      </w:pPr>
      <w:r>
        <w:rPr>
          <w:rFonts w:ascii="游ゴシック" w:cs="游ゴシック" w:eastAsia="游ゴシック" w:hAnsi="游ゴシック"/>
          <w:b w:val="1"/>
          <w:bCs w:val="1"/>
          <w:i w:val="false"/>
          <w:iCs w:val="false"/>
          <w:sz w:val="22"/>
          <w:szCs w:val="22"/>
        </w:rPr>
        <w:t xml:space="preserve">　▌ KPIの3層構造</w:t>
      </w:r>
    </w:p>
    <w:p>
      <w:pPr>
        <w:spacing w:after="80" w:before="50" w:line="320"/>
        <w:ind w:firstLine="200"/>
        <w:jc w:val="left"/>
      </w:pPr>
      <w:r>
        <w:rPr>
          <w:rFonts w:ascii="游ゴシック" w:cs="游ゴシック" w:eastAsia="游ゴシック" w:hAnsi="游ゴシック"/>
          <w:i w:val="false"/>
          <w:iCs w:val="false"/>
          <w:sz w:val="21"/>
          <w:szCs w:val="21"/>
        </w:rPr>
        <w:t xml:space="preserve">認知症施策のKPIは、プロセス（活動量）・アウトプット（成果物）・アウトカム（住民の変化）の3層で設定します。これは、活動回数や成果物の数だけを追うのではなく、最終的に「認知症の人本人と家族の地域生活満足度」がどう変化したかをアンケートで測定し、施策の真の有効性を評価するための設計です。プロセス・アウトプット指標は事業実績で測定可能ですが、アウトカム指標はアンケート結果反映後の確定となるため、目標値は委員会協議事項として整理します。なお、令和8年度の保険者努力支援交付金の活動指標では、認知症に関する目標Ⅱ（ⅱ）で36点満点中18点（全国平均13.29点）を得ています。認知症サポーター数は高齢者人口10万人当たり17,694人で全国1,592位、ステップアップ講座修了者数は同828人で全国188位（全国平均330人）です。サポーターの人数より、ステップアップした担い手の活動の場を確保することに重点を置き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5"/>
        <w:gridCol w:w="65"/>
        <w:gridCol w:w="180"/>
        <w:gridCol w:w="120"/>
        <w:gridCol w:w="80"/>
      </w:tblGrid>
      <w:tr>
        <w:tc>
          <w:tcPr>
            <w:tcW w:type="dxa" w:w="55"/>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層</w:t>
            </w:r>
          </w:p>
        </w:tc>
        <w:tc>
          <w:tcPr>
            <w:tcW w:type="dxa" w:w="65"/>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対応する国の重点目標</w:t>
            </w:r>
          </w:p>
        </w:tc>
        <w:tc>
          <w:tcPr>
            <w:tcW w:type="dxa" w:w="1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指標</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現状値</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目標値（R11）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プロセス</w:t>
              <w:br/>
              <w:t xml:space="preserve">（活動量）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重点目標1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認知症サポーター養成講座 年間開催回数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【町確認】（受講者は令和7年度見込5人）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【委員会協議】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プロセス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重点目標1・3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認知症カフェ 年間開催回数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47回（令和7年度見込）</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【委員会協議】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プロセス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重点目標1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認知症の日・認知症月間の事業・行事の実施</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─（第9条に対応する取組がない）</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毎年度実施</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プロセス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重点目標2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認知症本人ミーティングの開催回数（保健福祉課の職員が参画するもの）</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─（第10期に新設）</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年2回以上</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プロセス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重点目標3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庁内の部署横断的な認知症施策の検討の場の開催回数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─（設けていない）</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年1回以上</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アウトプット</w:t>
              <w:br/>
              <w:t xml:space="preserve">（成果物）</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重点目標1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認知症サポーター累計養成数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577人（交付金・令和7年3月31日）</w:t>
              <w:br/>
              <w:t xml:space="preserve">642人（町提供データ・令和7年度見込）</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【委員会協議】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アウトプット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重点目標1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認知症サポーターステップアップ講座修了者数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27人（令和7年3月31日・全国188位）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【委員会協議】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アウトプット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重点目標1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チームオレンジ 活動状況（チーム数・メンバー数・支援した認知症の人の数）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整備済（令和6年度〜）［要確認］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チーム数・支援件数を把握</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アウトプット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重点目標3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認知症初期集中支援チーム 訪問件数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12件（令和7年度見込）</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【委員会協議】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アウトプット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重点目標2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意思決定支援研修の実施と参加者数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─（第10期に新設）</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年1回以上・参加者数を把握</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アウトプット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重点目標3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認知症対応力向上研修の受講者数（宮城県の研修）</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把握して増加</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アウトカム</w:t>
              <w:br/>
              <w:t xml:space="preserve">（住民の変化）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重点目標3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認知症相談窓口を知っている人の割合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47.7％（n=547）</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増加</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アウトカム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重点目標1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認知症サポーター及び町職員の認知症観の変化（認知症の人が失敗しそうな場面で、本人のやりたいことを優先して見守れるようになったと答えた人の割合）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─（第10期に新たに測る）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【委員会協議】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アウトカム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重点目標2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意見聴取において「自分の思いを伝えられる相手がいる」と語られた件数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─（第10期に新たに測る）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増加</w:t>
            </w:r>
          </w:p>
        </w:tc>
      </w:tr>
    </w:tbl>
    <w:p>
      <w:pPr>
        <w:spacing w:after="80" w:before="50" w:line="320"/>
        <w:ind w:firstLine="200"/>
        <w:jc w:val="left"/>
      </w:pPr>
      <w:r>
        <w:rPr>
          <w:rFonts w:ascii="游ゴシック" w:cs="游ゴシック" w:eastAsia="游ゴシック" w:hAnsi="游ゴシック"/>
          <w:i w:val="false"/>
          <w:iCs w:val="false"/>
          <w:sz w:val="21"/>
          <w:szCs w:val="21"/>
        </w:rPr>
        <w:t xml:space="preserve">指標は、国の認知症施策推進基本計画が掲げる重点目標1〜3に対応させています。重点目標1「国民一人一人が『新しい認知症観』を理解していること」、重点目標2「認知症の人の生活においてその意思等が尊重されていること」、重点目標3「認知症の人・家族等が他の人々と支え合いながら地域で安心して暮らすことができること」です。手引き3.3は、プロセス・アウトプット・アウトカムの3層が「相互に関連する一連の流れ」であり、アウトカムを把握するにはアウトプットを、アウトプットを把握するにはプロセス（施策の立案・実施・評価の過程）を把握する必要があるとしています。</w:t>
      </w:r>
    </w:p>
    <w:p>
      <w:pPr>
        <w:spacing w:after="80" w:before="50" w:line="320"/>
        <w:ind w:firstLine="200"/>
        <w:jc w:val="left"/>
      </w:pPr>
      <w:r>
        <w:rPr>
          <w:rFonts w:ascii="游ゴシック" w:cs="游ゴシック" w:eastAsia="游ゴシック" w:hAnsi="游ゴシック"/>
          <w:i w:val="false"/>
          <w:iCs w:val="false"/>
          <w:sz w:val="21"/>
          <w:szCs w:val="21"/>
        </w:rPr>
        <w:t xml:space="preserve">⚠ アウトカム指標を2つ入れ替えました。Ver.2.1までは「認知症の人と家族の地域生活満足度」を掲げていましたが、本町が令和8年に実施した2調査に該当する設問がなく測れないためです。手引き3.3は「各自治体において地域の目標に沿った形で独自の指標を設けることも考えられます」としており、また厚生労働省老人保健健康増進等事業の「認知症の本人の声を施策・事業運営に活かしていくためのヒント」は、開催回数や参加人数だけでなく、認知症の人に関わる人々の認知症観の変化を指標に据えた自治体の例を挙げています。これに倣い、サポーター及び町職員の認知症観の変化と、意見聴取の記録から把握する本人の言葉に置き換えました。</w:t>
      </w:r>
    </w:p>
    <w:p>
      <w:pPr>
        <w:spacing w:after="80" w:before="50" w:line="320"/>
        <w:ind w:firstLine="200"/>
        <w:jc w:val="left"/>
      </w:pPr>
      <w:r>
        <w:rPr>
          <w:rFonts w:ascii="游ゴシック" w:cs="游ゴシック" w:eastAsia="游ゴシック" w:hAnsi="游ゴシック"/>
          <w:i w:val="false"/>
          <w:iCs w:val="false"/>
          <w:sz w:val="21"/>
          <w:szCs w:val="21"/>
        </w:rPr>
        <w:t xml:space="preserve">⚠ 手引き3.3は「KPIはあくまで認知症施策の効果を評価することを目的としたものであり、最終的には市町村ごとの地域における認知症に関するビジョンを実現することが目標であることから、KPIの値を高めること自体が目標ではない」としています。本町も、指標の数値を追うことではなく、6-1に掲げた目指す姿に近づいているかどうかを毎年度確かめるために指標を用います（第10章10-2・10-3）。</w:t>
      </w:r>
    </w:p>
    <w:p>
      <w:pPr>
        <w:spacing w:after="80" w:before="80" w:line="280"/>
        <w:ind w:left="288"/>
      </w:pPr>
      <w:r>
        <w:rPr>
          <w:rFonts w:ascii="游ゴシック" w:cs="游ゴシック" w:eastAsia="游ゴシック" w:hAnsi="游ゴシック"/>
          <w:i/>
          <w:iCs/>
          <w:sz w:val="19"/>
          <w:szCs w:val="19"/>
        </w:rPr>
        <w:t xml:space="preserve">⚠ 認知症の人及びその家族等からの意見聴取は、認知症基本法第13条第3項において準用する第12条第3項に基づく計画の策定手続です。郵送のアンケート調査とは別チャネル（地域包括支援センター・国保川崎病院経由）で令和8年10〜11月に実施し、計画書案の作成前に本章へ反映します。対象者の選定（認知症カフェの参加者・初期集中支援チームの対象者等）は町と協議のうえ決定します［要協議］。</w:t>
      </w:r>
    </w:p>
    <w:p>
      <w:pPr>
        <w:pageBreakBefore/>
        <w:spacing w:after="0" w:before="0" w:line="240"/>
      </w:pPr>
      <w:r>
        <w:rPr>
          <w:rFonts w:ascii="游ゴシック" w:cs="游ゴシック" w:eastAsia="游ゴシック" w:hAnsi="游ゴシック"/>
          <w:i w:val="false"/>
          <w:iCs w:val="false"/>
          <w:sz w:val="21"/>
          <w:szCs w:val="21"/>
        </w:rPr>
        <w:t xml:space="preserve"/>
      </w:r>
    </w:p>
    <w:p>
      <w:pPr>
        <w:spacing w:after="100" w:before="200" w:line="320"/>
      </w:pPr>
      <w:r>
        <w:rPr>
          <w:rFonts w:ascii="游ゴシック" w:cs="游ゴシック" w:eastAsia="游ゴシック" w:hAnsi="游ゴシック"/>
          <w:b w:val="1"/>
          <w:bCs w:val="1"/>
          <w:i w:val="false"/>
          <w:iCs w:val="false"/>
          <w:sz w:val="25"/>
          <w:szCs w:val="25"/>
        </w:rPr>
        <w:t xml:space="preserve">6-4　認知症施策の体系（6節8項28事業）</w:t>
      </w:r>
    </w:p>
    <w:p>
      <w:pPr>
        <w:spacing w:after="80" w:before="50" w:line="320"/>
        <w:ind w:firstLine="200"/>
        <w:jc w:val="left"/>
      </w:pPr>
      <w:r>
        <w:rPr>
          <w:rFonts w:ascii="游ゴシック" w:cs="游ゴシック" w:eastAsia="游ゴシック" w:hAnsi="游ゴシック"/>
          <w:i w:val="false"/>
          <w:iCs w:val="false"/>
          <w:sz w:val="21"/>
          <w:szCs w:val="21"/>
        </w:rPr>
        <w:t xml:space="preserve">本章の施策を、別冊「施策・事業の体系（Ｃ案）」の柱5（認知症施策の推進）の節・項の単位で掲げます。認知症基本法第14条から第21条までの8つの基本的施策のすべてに対応する事業を置いたうえで、第9条（認知症の日・認知症月間）及び第13条（計画の策定手続）への対応を加えており、6節8項28事業（ほかに再掲4）で構成されます。</w:t>
      </w:r>
    </w:p>
    <w:p>
      <w:pPr>
        <w:spacing w:after="80" w:before="180" w:line="300"/>
      </w:pPr>
      <w:r>
        <w:rPr>
          <w:rFonts w:ascii="游ゴシック" w:cs="游ゴシック" w:eastAsia="游ゴシック" w:hAnsi="游ゴシック"/>
          <w:b w:val="1"/>
          <w:bCs w:val="1"/>
          <w:i w:val="false"/>
          <w:iCs w:val="false"/>
          <w:sz w:val="22"/>
          <w:szCs w:val="22"/>
        </w:rPr>
        <w:t xml:space="preserve">　▌ 第１節 計画の策定・推進の手続（1項5事業）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6"/>
        <w:gridCol w:w="176"/>
        <w:gridCol w:w="32"/>
        <w:gridCol w:w="96"/>
      </w:tblGrid>
      <w:tr>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項</w:t>
            </w:r>
          </w:p>
        </w:tc>
        <w:tc>
          <w:tcPr>
            <w:tcW w:type="dxa" w:w="17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w:t>
            </w:r>
          </w:p>
        </w:tc>
        <w:tc>
          <w:tcPr>
            <w:tcW w:type="dxa" w:w="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所管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１　認知症施策推進計画としての手続（法第13条）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（１）認知症の人及びその家族等からの意見聴取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保健福祉課・地域包括支援センター</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（２）計画の公表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（３）実施状況の評価と結果の公表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（４）少なくとも5年ごとの検討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（５）他の計画との調和</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bl>
    <w:p>
      <w:pPr>
        <w:spacing w:after="80" w:before="180" w:line="300"/>
      </w:pPr>
      <w:r>
        <w:rPr>
          <w:rFonts w:ascii="游ゴシック" w:cs="游ゴシック" w:eastAsia="游ゴシック" w:hAnsi="游ゴシック"/>
          <w:b w:val="1"/>
          <w:bCs w:val="1"/>
          <w:i w:val="false"/>
          <w:iCs w:val="false"/>
          <w:sz w:val="22"/>
          <w:szCs w:val="22"/>
        </w:rPr>
        <w:t xml:space="preserve">　▌ 第２節 認知症の早期発見・早期対応の推進（1項4事業）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6"/>
        <w:gridCol w:w="176"/>
        <w:gridCol w:w="32"/>
        <w:gridCol w:w="96"/>
      </w:tblGrid>
      <w:tr>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項</w:t>
            </w:r>
          </w:p>
        </w:tc>
        <w:tc>
          <w:tcPr>
            <w:tcW w:type="dxa" w:w="17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w:t>
            </w:r>
          </w:p>
        </w:tc>
        <w:tc>
          <w:tcPr>
            <w:tcW w:type="dxa" w:w="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所管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１　認知症の早期発見・早期対応の推進（法第18条・第21条）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（１）認知症初期集中支援推進事業【重点】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地域包括支援センター・国保川崎病院</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（２）もの忘れ相談の充実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地域包括支援センター</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（３）認知症の早期発見・早期治療の体制づくりの推進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保健福祉課・国保川崎病院</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（４）難聴高齢者の早期発見・早期介入</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保健福祉課・国保川崎病院</w:t>
            </w:r>
          </w:p>
        </w:tc>
      </w:tr>
    </w:tbl>
    <w:p>
      <w:pPr>
        <w:spacing w:after="80" w:before="180" w:line="300"/>
      </w:pPr>
      <w:r>
        <w:rPr>
          <w:rFonts w:ascii="游ゴシック" w:cs="游ゴシック" w:eastAsia="游ゴシック" w:hAnsi="游ゴシック"/>
          <w:b w:val="1"/>
          <w:bCs w:val="1"/>
          <w:i w:val="false"/>
          <w:iCs w:val="false"/>
          <w:sz w:val="22"/>
          <w:szCs w:val="22"/>
        </w:rPr>
        <w:t xml:space="preserve">　▌ 第３節 認知症地域支援・ケア向上の推進（1項8事業）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6"/>
        <w:gridCol w:w="176"/>
        <w:gridCol w:w="32"/>
        <w:gridCol w:w="96"/>
      </w:tblGrid>
      <w:tr>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項</w:t>
            </w:r>
          </w:p>
        </w:tc>
        <w:tc>
          <w:tcPr>
            <w:tcW w:type="dxa" w:w="17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w:t>
            </w:r>
          </w:p>
        </w:tc>
        <w:tc>
          <w:tcPr>
            <w:tcW w:type="dxa" w:w="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所管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１　認知症地域支援・ケア向上の推進（法第15条・第18条・第19条）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（１）認知症地域支援推進員の配置</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地域包括支援センター</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（２）認知症についての周知・啓発とネットワークの推進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保健福祉課・地域包括支援センター</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（３）認知症カフェ（喫茶みかん）の運営支援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地域包括支援センター・社会福祉協議会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（４）認知症の人と家族の相談支援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地域包括支援センター</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（５）認知症高齢者等見守りＱＲコード活用事業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（６）認知症高齢者見守り体制の整備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保健福祉課・社会福祉協議会・民生委員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（７）移動のための交通手段の確保</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再掲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地域振興課・社会福祉協議会・NPO法人</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（８）交通の安全の確保</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再掲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町民生活課</w:t>
            </w:r>
          </w:p>
        </w:tc>
      </w:tr>
    </w:tbl>
    <w:p>
      <w:pPr>
        <w:spacing w:after="80" w:before="180" w:line="300"/>
      </w:pPr>
      <w:r>
        <w:rPr>
          <w:rFonts w:ascii="游ゴシック" w:cs="游ゴシック" w:eastAsia="游ゴシック" w:hAnsi="游ゴシック"/>
          <w:b w:val="1"/>
          <w:bCs w:val="1"/>
          <w:i w:val="false"/>
          <w:iCs w:val="false"/>
          <w:sz w:val="22"/>
          <w:szCs w:val="22"/>
        </w:rPr>
        <w:t xml:space="preserve">　▌ 第４節 認知症サポーター活動促進・地域づくりの推進（1項5事業）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6"/>
        <w:gridCol w:w="176"/>
        <w:gridCol w:w="32"/>
        <w:gridCol w:w="96"/>
      </w:tblGrid>
      <w:tr>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項</w:t>
            </w:r>
          </w:p>
        </w:tc>
        <w:tc>
          <w:tcPr>
            <w:tcW w:type="dxa" w:w="17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w:t>
            </w:r>
          </w:p>
        </w:tc>
        <w:tc>
          <w:tcPr>
            <w:tcW w:type="dxa" w:w="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所管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１　認知症サポーター活動促進・地域づくりの推進（法第14条）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（１）認知症サポーター養成講座の開催</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（２）認知症キャラバンメイトの養成・活動支援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（３）チームオレンジの整備・活動支援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保健福祉課・地域包括支援センター</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（４）企業・学校等における認知症サポーターの養成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保健福祉課・教育委員会【町確認】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（５）認知症の人と家族を支える人材の育成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bl>
    <w:p>
      <w:pPr>
        <w:spacing w:after="80" w:before="180" w:line="300"/>
      </w:pPr>
      <w:r>
        <w:rPr>
          <w:rFonts w:ascii="游ゴシック" w:cs="游ゴシック" w:eastAsia="游ゴシック" w:hAnsi="游ゴシック"/>
          <w:b w:val="1"/>
          <w:bCs w:val="1"/>
          <w:i w:val="false"/>
          <w:iCs w:val="false"/>
          <w:sz w:val="22"/>
          <w:szCs w:val="22"/>
        </w:rPr>
        <w:t xml:space="preserve">　▌ 第５節 認知症の人の社会参加・権利利益の保護（3項8事業）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6"/>
        <w:gridCol w:w="176"/>
        <w:gridCol w:w="32"/>
        <w:gridCol w:w="96"/>
      </w:tblGrid>
      <w:tr>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項</w:t>
            </w:r>
          </w:p>
        </w:tc>
        <w:tc>
          <w:tcPr>
            <w:tcW w:type="dxa" w:w="17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w:t>
            </w:r>
          </w:p>
        </w:tc>
        <w:tc>
          <w:tcPr>
            <w:tcW w:type="dxa" w:w="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所管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１　社会参加の機会の確保（法第16条）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（１）認知症本人ミーティングの開催</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地域包括支援センター</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（２）若年性認知症の人の就労継続に関する事業主への啓発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保健福祉課・企画課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２　意思決定の支援及び権利利益の保護（法第17条）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（１）成年後見制度の利用促進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再掲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保健福祉課・地域包括支援センター</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（２）日常生活自立支援事業の活用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社会福祉協議会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（３）意思決定支援研修の実施</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保健福祉課・地域包括支援センター</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（４）消費者被害の防止の啓発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再掲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町民生活課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３　調査研究の成果の活用（法第20条）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（１）国の研究成果の活用と普及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（２）意見聴取の結果の施策への反映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bl>
    <w:p>
      <w:pPr>
        <w:spacing w:after="80" w:before="180" w:line="300"/>
      </w:pPr>
      <w:r>
        <w:rPr>
          <w:rFonts w:ascii="游ゴシック" w:cs="游ゴシック" w:eastAsia="游ゴシック" w:hAnsi="游ゴシック"/>
          <w:b w:val="1"/>
          <w:bCs w:val="1"/>
          <w:i w:val="false"/>
          <w:iCs w:val="false"/>
          <w:sz w:val="22"/>
          <w:szCs w:val="22"/>
        </w:rPr>
        <w:t xml:space="preserve">　▌ 第６節 認知症の日・認知症月間（1項2事業）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6"/>
        <w:gridCol w:w="176"/>
        <w:gridCol w:w="32"/>
        <w:gridCol w:w="96"/>
      </w:tblGrid>
      <w:tr>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項</w:t>
            </w:r>
          </w:p>
        </w:tc>
        <w:tc>
          <w:tcPr>
            <w:tcW w:type="dxa" w:w="17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w:t>
            </w:r>
          </w:p>
        </w:tc>
        <w:tc>
          <w:tcPr>
            <w:tcW w:type="dxa" w:w="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所管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１　認知症の日・認知症月間（法第9条）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（１）認知症の日（9月21日）にふさわしい事業の実施</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（２）認知症月間（9月1日〜30日）の行事の奨励</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bl>
    <w:p>
      <w:pPr>
        <w:spacing w:after="80" w:before="50" w:line="320"/>
        <w:ind w:firstLine="200"/>
        <w:jc w:val="left"/>
      </w:pPr>
      <w:r>
        <w:rPr>
          <w:rFonts w:ascii="游ゴシック" w:cs="游ゴシック" w:eastAsia="游ゴシック" w:hAnsi="游ゴシック"/>
          <w:i w:val="false"/>
          <w:iCs w:val="false"/>
          <w:sz w:val="21"/>
          <w:szCs w:val="21"/>
        </w:rPr>
        <w:t xml:space="preserve">⚠ 「再掲」は、他の柱に掲げた事業のうち認知症施策としても位置付けるものです。事業数（28事業）には再掲4件を含めていません。</w:t>
      </w:r>
    </w:p>
    <w:p>
      <w:pPr>
        <w:spacing w:after="80" w:before="180" w:line="300"/>
      </w:pPr>
      <w:r>
        <w:rPr>
          <w:rFonts w:ascii="游ゴシック" w:cs="游ゴシック" w:eastAsia="游ゴシック" w:hAnsi="游ゴシック"/>
          <w:b w:val="1"/>
          <w:bCs w:val="1"/>
          <w:i w:val="false"/>
          <w:iCs w:val="false"/>
          <w:sz w:val="22"/>
          <w:szCs w:val="22"/>
        </w:rPr>
        <w:t xml:space="preserve">　▌ 新たに立てる事業・広げる事業（新規13件・拡充4件）</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96"/>
        <w:gridCol w:w="144"/>
        <w:gridCol w:w="136"/>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w:t>
            </w:r>
          </w:p>
        </w:tc>
        <w:tc>
          <w:tcPr>
            <w:tcW w:type="dxa" w:w="14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根拠となる事実</w:t>
            </w:r>
          </w:p>
        </w:tc>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第10期での内容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（１）認知症の人及びその家族等からの意見聴取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法：第13条第3項において準用する第12条第3項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計画書案の作成前に実施する。対象者の選定（認知症カフェの参加者・初期集中支援チームの対象者等）は町と協議のうえ決定する（確認事項No.90）</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（２）計画の公表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法：第13条第3項において準用する第12条第4項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第9期計画では行っていなかった</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（３）実施状況の評価と結果の公表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法：第13条第3項において準用する第12条第5項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交付金の評価指標「進捗状況の評価に当たり認知症の当事者の意見を聴いているか」と同内容（確認事項No.93）</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（４）少なくとも5年ごとの検討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法：第13条第3項において準用する第12条第6項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介護保険事業計画の3年周期の見直しにより満たす。第12条第7項は、評価結果の取りまとめ時及び計画の変更時の意見聴取等を定めるものである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（５）他の計画との調和</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法：第13条第2項（地域福祉計画・老人福祉計画・介護保険事業計画等）</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本計画を一体の計画として策定することにより調和を確保する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（１）認知症初期集中支援推進事業【重点】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実：訪問件数が令和5年度80件→令和6年度42件→令和7年度見込12件と2年で85％減</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法第21条第2項の連携協力体制の整備に当たる。活動量の回復を図る場合は目標値を別に定める（確認事項No.89・No.96）</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（１）認知症サポーター養成講座の開催</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交：「認知症サポーター数」0／12点・県内22位。令和7年3月31日時点577人。高齢者人口10万人当たり17,694人で全国1,592位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町提供データの累計642人との食い違いを確認中（確認事項No.94）</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（３）チームオレンジの整備・活動支援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交：ステップアップ講座修了者828人で全国188位（全国平均330人）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令和6年度に整備済み。第10期は活動の充実とチーム数の拡大。本町の強みは人数ではなく担い手の層（確認事項No.87）</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（４）企業・学校等における認知症サポーターの養成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法：認知症基本法第14条（学校教育・社会教育における認知症教育の推進）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（１）認知症本人ミーティングの開催</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法：認知症基本法第16条第1項（経験等を共有できる機会・社会参加の機会の確保）</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体系（案）に対応する事業がなかった（確認事項No.112）</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（２）若年性認知症の人の就労継続に関する事業主への啓発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法：認知症基本法第16条第2項（雇用の継続・円滑な就職）</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町における該当者の把握状況とあわせて確認中（確認事項No.95）</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（２）日常生活自立支援事業の活用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法：認知症基本法第17条</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（３）意思決定支援研修の実施</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法：認知症基本法第17条（意思決定支援に関する指針）</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（１）国の研究成果の活用と普及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法：認知症基本法第20条</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体系（案）に対応する事業がなかった（確認事項No.112）</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（２）意見聴取の結果の施策への反映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法：認知症基本法第20条（社会参加の在り方等の調査研究と成果の活用）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第1節1(1)の意見聴取と一体で運用する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（１）認知症の日（9月21日）にふさわしい事業の実施</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法：認知症基本法第9条第2項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本町には現在これに当たる取組がない。認知症カフェ・サポーター養成講座を9月に集中させる等、既存の事業で対応できる余地がある（確認事項No.92）</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（２）認知症月間（9月1日〜30日）の行事の奨励</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法：認知症基本法第9条第3項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素案Ver.1.18までは「世界アルツハイマー月間」としていたが、これは国際的な呼称であり法定の認知症の日・認知症月間とは別のもの</w:t>
            </w:r>
          </w:p>
        </w:tc>
      </w:tr>
    </w:tbl>
    <w:p>
      <w:pPr>
        <w:spacing w:after="80" w:before="180" w:line="300"/>
      </w:pPr>
      <w:r>
        <w:rPr>
          <w:rFonts w:ascii="游ゴシック" w:cs="游ゴシック" w:eastAsia="游ゴシック" w:hAnsi="游ゴシック"/>
          <w:b w:val="1"/>
          <w:bCs w:val="1"/>
          <w:i w:val="false"/>
          <w:iCs w:val="false"/>
          <w:sz w:val="22"/>
          <w:szCs w:val="22"/>
        </w:rPr>
        <w:t xml:space="preserve">　▌ 第2回策定委員会でご判断いただく事業の追加候補（15件）</w:t>
      </w:r>
    </w:p>
    <w:p>
      <w:pPr>
        <w:spacing w:after="80" w:before="50" w:line="320"/>
        <w:ind w:firstLine="200"/>
        <w:jc w:val="left"/>
      </w:pPr>
      <w:r>
        <w:rPr>
          <w:rFonts w:ascii="游ゴシック" w:cs="游ゴシック" w:eastAsia="游ゴシック" w:hAnsi="游ゴシック"/>
          <w:i w:val="false"/>
          <w:iCs w:val="false"/>
          <w:sz w:val="21"/>
          <w:szCs w:val="21"/>
        </w:rPr>
        <w:t xml:space="preserve">厚生労働省「都道府県・市町村向け認知症施策推進計画策定の手引き」3.4（1）の施策対応表（主な対応主体に市町村が含まれるもの47項目）及び認知症施策推進基本計画の重点目標1〜3のKPI（24指標）と本章を突き合わせたところ、次の15件が本章に位置付けられていませんでした。施策体系（7章17節37項143事業）は第2回策定委員会の選択1により確定するため、本表は追加の候補として掲げるものです。手引き3.1（3）は「基本計画に記載されている全ての施策を実施する必要があるわけではなく、各地域における目指すべき姿の実現のために必要な施策を検討することが重要」としており、15件のすべてを実施しなければならないものではありません。費用区分は、追加の予算措置を要するかどうかの区分です。「既存人員・既存事業内で実施可能」としたものも担当職員の時間を要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0"/>
        <w:gridCol w:w="120"/>
        <w:gridCol w:w="190"/>
        <w:gridCol w:w="70"/>
        <w:gridCol w:w="80"/>
      </w:tblGrid>
      <w:tr>
        <w:tc>
          <w:tcPr>
            <w:tcW w:type="dxa" w:w="4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区分</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追加候補の事業又は内容</w:t>
            </w:r>
          </w:p>
        </w:tc>
        <w:tc>
          <w:tcPr>
            <w:tcW w:type="dxa" w:w="1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根拠</w:t>
            </w:r>
          </w:p>
        </w:tc>
        <w:tc>
          <w:tcPr>
            <w:tcW w:type="dxa" w:w="7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費用区分</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財源・備考</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未確認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認知症ケアパスの作成・更新・周知（第3節）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国のKPI 重点目標3アウトプット指標7は「基本法の趣旨を踏まえた認知症ケアパスの作成・更新・周知を行っている市町村の数」で、24指標のうち市町村の数を直接数える唯一の指標である（法定の必須成果物として定められたものではない）。交付金 支援 目標Ⅱ（ⅰ）2アの留意点でもケアパスの配布が例示されている。⚠ 本町における作成の有無・最終更新日・配布実績・ホームページ掲載の状況を確認中であり（確認事項No.137）、未作成であれば新規、更新が止まっていれば更新、作成・周知済みであれば継続・改善として整理す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実施方法確定後に積算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編集は既存人員。印刷費は部数により積算（一般財源）。確認事項No.137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認知症バリアフリーの取組と地域の関係機関との連携（金融機関・小売業者・公共交通事業者）（第3節）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手引き2（1）2・2（1）9。国のKPI 重点目標3アウトプット指標5は「認知症バリアフリー宣言を行っている事業者の数」。6-2の第15条の欄には記しているが本節に事業がない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訪問・会議の旅費のみ。確認事項No.143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認知症の本人同士のピアサポート活動（第5節1）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国のKPI 重点目標2プロセス指標1・手引き3（1）1。5-3第1節3（2）のピアサポートは家族介護者のものであり別である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地域支援事業として計上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包括的支援事業（認知症総合支援事業）。本人ミーティングと一体で実施する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認知症の人の社会参加の支援（農業、商品の製造・販売、食堂の運営、地域活動やマルシェ等）（第5節1）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手引き3（2）2。交付金 支援 目標Ⅱ（ⅰ）1オ（4点）を本町は満点で得ており、実態としては行われている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実施方法確定後に積算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現に行われている取組の確認が先。確認事項No.145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認知症サポーター養成講座への認知症の人の参画（第4節1（1）（4））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国のKPI 重点目標1プロセス指標2・手引き1（1）1・1（2）1。本人が受講者にメッセージを送る、受講者と対話する、講座の内容を本人の意見も踏まえて構成する、のいずれかで足りる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実施方法確定後に積算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本人の交通費・謝金の要否を町と協議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本人発信支援と認知症希望大使の招請（第4節）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国のKPI 重点目標1プロセス指標3・手引き1（3）1・1（3）3・3（2）1。意見聴取において「第三者の力を借りる」手段としても有効である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実施方法確定後に積算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宮城県の認知症希望大使の招請に係る旅費・謝金。県事業の枠組みを確認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認知症サポート医・認知症疾患医療センターの周知（第2節1（2）（3））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手引き5（2）1・6（1）2。交付金 支援 目標Ⅱ（ⅰ）2アの留意点も両者の周知を求めている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ケアパス又は広報・ホームページによる。確認事項No.138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認知症地域支援推進員の業務の明示（就労支援・診断後支援・ピアサポートを含む）（第3節1（1））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国のKPI 重点目標3アウトプット指標4は「就労支援も含めて個別の相談・支援を実施していることを明示した認知症地域支援推進員」を数える。手引き5（2）3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要綱・事業計画の記述の改めによる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行動・心理症状（BPSD）への対応力向上研修及び「新しい認知症観」を踏まえた認知症対応力向上研修（第4節1（5））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手引き5（1）3・5（3）1。国のKPI 重点目標3アウトプット指標3は受講者数を数える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宮城県の研修を活用。確認事項No.140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宮城県の若年性認知症支援コーディネーターとの連携（第5節1（2））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手引き3（3）3・5（2）4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連絡・同行に係る旅費のみ。確認事項No.144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再掲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重層的支援体制整備事業との連動（5-4第2節1（8））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手引き2（1）5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現行の財源のまま</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再掲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災害発生時の高齢者支援対策（5-2第2節）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手引き2（1）8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現行の財源のまま</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再掲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高齢者虐待の早期発見、早期解決（5-4第2節1（7））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手引き4（4）1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現行の財源のまま</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再掲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通いの場等による介護予防（5-1・5-4第1節）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手引き8（1）1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介護予防・日常生活支援総合事業（現行の財源のまま）</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検討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認知症の人と家族への一体的支援事業・認知症伴走型支援事業（第3節1（3）（4））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手引き6（1）1。いずれも地域支援事業（任意事業）である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地域支援事業として計上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任意事業。実施の可否を町にご判断いただく。確認事項No.141</w:t>
            </w:r>
          </w:p>
        </w:tc>
      </w:tr>
    </w:tbl>
    <w:p>
      <w:pPr>
        <w:spacing w:after="80" w:before="180" w:line="300"/>
      </w:pPr>
      <w:r>
        <w:rPr>
          <w:rFonts w:ascii="游ゴシック" w:cs="游ゴシック" w:eastAsia="游ゴシック" w:hAnsi="游ゴシック"/>
          <w:b w:val="1"/>
          <w:bCs w:val="1"/>
          <w:i w:val="false"/>
          <w:iCs w:val="false"/>
          <w:sz w:val="22"/>
          <w:szCs w:val="22"/>
        </w:rPr>
        <w:t xml:space="preserve">　▌ 追加候補の見込量・費用・財源の枠組み</w:t>
      </w:r>
    </w:p>
    <w:p>
      <w:pPr>
        <w:spacing w:after="80" w:before="50" w:line="320"/>
        <w:ind w:firstLine="200"/>
        <w:jc w:val="left"/>
      </w:pPr>
      <w:r>
        <w:rPr>
          <w:rFonts w:ascii="游ゴシック" w:cs="游ゴシック" w:eastAsia="游ゴシック" w:hAnsi="游ゴシック"/>
          <w:i w:val="false"/>
          <w:iCs w:val="false"/>
          <w:sz w:val="21"/>
          <w:szCs w:val="21"/>
        </w:rPr>
        <w:t xml:space="preserve">追加候補15件について、見込量の置き方・費用の考え方・財源を次のとおり整理します。金額は、実施方法が確定した段階で積算します。現時点で金額を確定できないため、第9章9-1のサービス見込量及び地域支援事業費には反映していません。地域支援事業として実施するものは、第9章9-3に示す財源構成により保険料に影響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15"/>
        <w:gridCol w:w="96"/>
        <w:gridCol w:w="144"/>
        <w:gridCol w:w="67"/>
        <w:gridCol w:w="78"/>
      </w:tblGrid>
      <w:tr>
        <w:tc>
          <w:tcPr>
            <w:tcW w:type="dxa" w:w="115"/>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追加候補の事業</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見込量の置き方</w:t>
            </w:r>
          </w:p>
        </w:tc>
        <w:tc>
          <w:tcPr>
            <w:tcW w:type="dxa" w:w="14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費用の考え方</w:t>
            </w:r>
          </w:p>
        </w:tc>
        <w:tc>
          <w:tcPr>
            <w:tcW w:type="dxa" w:w="6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費用区分</w:t>
            </w:r>
          </w:p>
        </w:tc>
        <w:tc>
          <w:tcPr>
            <w:tcW w:type="dxa" w:w="7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財源</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認知症ケアパスの作成・更新・周知</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作成1回・更新（3年に1回）・配布部数／年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編集は既存人員。印刷費＝部数×単価。町の既存の配布物の単価により積算</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実施方法確定後に積算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一般財源。国庫補助事業の活用の可否を確認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認知症バリアフリーの取組と地域の関係機関との連携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働きかけを行った事業者数／年・宣言を行った事業者数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会議・訪問に係る旅費のみ。謝金は要しない見込み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一般財源（旅費）</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認知症の本人同士のピアサポート活動</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開催回数／年・参加者数（本人ミーティングと一体で把握）</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会場費・茶菓代・記録の作成。既存の認知症カフェの場を用いる場合は追加費用が小さい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地域支援事業として計上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包括的支援事業（認知症総合支援事業）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認知症の人の社会参加の支援（農業・製造販売・食堂等）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参加された方の人数・活動の回数／年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現に行われている取組の内容の確認が先（確認事項No.145）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実施方法確定後に積算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包括的支援事業又は一般財源</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サポーター養成講座への認知症の人の参画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本人が参画した講座の回数／年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本人の交通費・謝金の要否を町と協議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実施方法確定後に積算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包括的支援事業（認知症総合支援事業）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本人発信支援・認知症希望大使の招請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招請の回数／年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宮城県の認知症希望大使の招請に係る旅費・謝金。県事業の枠組みを確認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実施方法確定後に積算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県事業の活用又は一般財源</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認知症サポート医・認知症疾患医療センターの周知</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周知の方法と回数／年（ケアパス・広報・ホームページ）</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ケアパスの印刷費に含める。広報・ホームページは追加費用を要しない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認知症地域支援推進員の業務の明示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推進員の人数・業務の種類（令和6年度は6種類・全国平均5.27）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配置は現に行われており、業務の明示は要綱・事業計画の記述の改めによる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包括的支援事業（認知症総合支援事業）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BPSD対応力向上研修・「新しい認知症観」を踏まえた研修</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受講者数／年（宮城県の研修）</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県の研修を活用するため、町の費用は受講の調整に係る事務のみ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県事業（受講費用は事業所負担）</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宮城県の若年性認知症支援コーディネーターとの連携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連携の件数／年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連絡・同行に係る旅費のみ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一般財源（旅費）</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再掲4件（重層的支援体制・災害時の支援・高齢者虐待・通いの場）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既に第4章・第5章で見込量を置いている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既存の事業であり、認知症施策としての再掲により費用は増えない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各事業の現行の財源</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認知症の人と家族への一体的支援事業・認知症伴走型支援事業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実施回数／年・参加世帯数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地域支援事業（任意事業）の補助単価による。実施の可否を町にご判断いただく</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地域支援事業として計上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任意事業（確認事項No.141）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本人ミーティング（Ver.2.1で新規事業として計上済み）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開催回数／年（目標 年2回以上）・参加者数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会場費・茶菓代・記録の作成・町職員の出席に係る時間</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地域支援事業として計上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包括的支援事業（認知症総合支援事業）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チームオレンジの活動支援（Ver.2.1で拡充事業として計上済み）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チーム数・メンバー数・支援した認知症の人の数（確認事項No.46）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活動の実態の確認が先。送迎・活動拠点は地域の協力を得る形を検討</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実施方法確定後に積算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包括的支援事業（認知症総合支援事業）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意見聴取の記録・反映台帳の管理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記録票の件数／年・台帳の更新回数／年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既存人員による。様式の印刷は少部数であり費用は小さい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r>
    </w:tbl>
    <w:p>
      <w:pPr>
        <w:spacing w:after="80" w:before="50" w:line="320"/>
        <w:ind w:firstLine="200"/>
        <w:jc w:val="left"/>
      </w:pPr>
      <w:r>
        <w:rPr>
          <w:rFonts w:ascii="游ゴシック" w:cs="游ゴシック" w:eastAsia="游ゴシック" w:hAnsi="游ゴシック"/>
          <w:i w:val="false"/>
          <w:iCs w:val="false"/>
          <w:sz w:val="21"/>
          <w:szCs w:val="21"/>
        </w:rPr>
        <w:t xml:space="preserve">⚠ 「既存人員・既存事業内で実施可能」としたものも、担当職員の時間を要します。本表は追加の予算措置を要するかどうかの区分であり、人件費が生じないという意味ではありません。また、いずれの事業も第2回策定委員会の選択1のご判断を経て確定するものであり、確定後に見込量と費用を積算し、第3回策定委員会で保険料に反映します。</w:t>
      </w:r>
    </w:p>
    <w:p>
      <w:pPr>
        <w:spacing w:after="0" w:before="240" w:line="320"/>
      </w:pPr>
      <w:r>
        <w:rPr>
          <w:rFonts w:ascii="游ゴシック" w:cs="游ゴシック" w:eastAsia="游ゴシック" w:hAnsi="游ゴシック"/>
          <w:b w:val="1"/>
          <w:bCs w:val="1"/>
          <w:i w:val="false"/>
          <w:iCs w:val="false"/>
          <w:sz w:val="30"/>
          <w:szCs w:val="30"/>
        </w:rPr>
        <w:t xml:space="preserve">第 7 章</w:t>
      </w:r>
    </w:p>
    <w:p>
      <w:pPr>
        <w:spacing w:after="140" w:before="0" w:line="320"/>
      </w:pPr>
      <w:r>
        <w:rPr>
          <w:rFonts w:ascii="游ゴシック" w:cs="游ゴシック" w:eastAsia="游ゴシック" w:hAnsi="游ゴシック"/>
          <w:b w:val="1"/>
          <w:bCs w:val="1"/>
          <w:i w:val="false"/>
          <w:iCs w:val="false"/>
          <w:sz w:val="30"/>
          <w:szCs w:val="30"/>
        </w:rPr>
        <w:t xml:space="preserve">サービス提供体制と介護人材の確保</w:t>
      </w:r>
    </w:p>
    <w:p>
      <w:pPr>
        <w:spacing w:after="200" w:before="200"/>
      </w:pPr>
      <w:r>
        <w:rPr>
          <w:rFonts w:ascii="游ゴシック" w:cs="游ゴシック" w:eastAsia="游ゴシック" w:hAnsi="游ゴシック"/>
          <w:i w:val="false"/>
          <w:iCs w:val="false"/>
          <w:sz w:val="21"/>
          <w:szCs w:val="21"/>
        </w:rPr>
        <w:t xml:space="preserve"/>
      </w:r>
    </w:p>
    <w:p>
      <w:pPr>
        <w:spacing w:after="80" w:before="50" w:line="320"/>
        <w:ind w:firstLine="200"/>
        <w:jc w:val="left"/>
      </w:pPr>
      <w:r>
        <w:rPr>
          <w:rFonts w:ascii="游ゴシック" w:cs="游ゴシック" w:eastAsia="游ゴシック" w:hAnsi="游ゴシック"/>
          <w:i w:val="false"/>
          <w:iCs w:val="false"/>
          <w:sz w:val="21"/>
          <w:szCs w:val="21"/>
        </w:rPr>
        <w:t xml:space="preserve">本章は、第10期計画において新たに設けるものです。第9期計画では「福祉・介護人材の確保・定着支援」が施策の1項目として置かれていたのみでしたが、第1回策定委員会において介護人材とサービス提供体制が最大の論点となったこと、及び国においてサービス提供体制の確保が重要課題とされていることを踏まえ、独立した章として位置付け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本章は介護保険法第117条第3項第1号「各年度における種類ごとの介護給付等対象サービスの量の見込みを確保するための方策」に対応する。</w:t>
      </w:r>
    </w:p>
    <w:p>
      <w:pPr>
        <w:spacing w:after="100" w:before="200" w:line="320"/>
      </w:pPr>
      <w:r>
        <w:rPr>
          <w:rFonts w:ascii="游ゴシック" w:cs="游ゴシック" w:eastAsia="游ゴシック" w:hAnsi="游ゴシック"/>
          <w:b w:val="1"/>
          <w:bCs w:val="1"/>
          <w:i w:val="false"/>
          <w:iCs w:val="false"/>
          <w:sz w:val="25"/>
          <w:szCs w:val="25"/>
        </w:rPr>
        <w:t xml:space="preserve">7-1　サービス提供体制の現状</w:t>
      </w:r>
    </w:p>
    <w:p>
      <w:pPr>
        <w:spacing w:after="80" w:before="180" w:line="300"/>
      </w:pPr>
      <w:r>
        <w:rPr>
          <w:rFonts w:ascii="游ゴシック" w:cs="游ゴシック" w:eastAsia="游ゴシック" w:hAnsi="游ゴシック"/>
          <w:b w:val="1"/>
          <w:bCs w:val="1"/>
          <w:i w:val="false"/>
          <w:iCs w:val="false"/>
          <w:sz w:val="22"/>
          <w:szCs w:val="22"/>
        </w:rPr>
        <w:t xml:space="preserve">　▌ 本章の考え方</w:t>
      </w:r>
    </w:p>
    <w:p>
      <w:pPr>
        <w:spacing w:after="80" w:before="50" w:line="320"/>
        <w:ind w:firstLine="200"/>
        <w:jc w:val="left"/>
      </w:pPr>
      <w:r>
        <w:rPr>
          <w:rFonts w:ascii="游ゴシック" w:cs="游ゴシック" w:eastAsia="游ゴシック" w:hAnsi="游ゴシック"/>
          <w:i w:val="false"/>
          <w:iCs w:val="false"/>
          <w:sz w:val="21"/>
          <w:szCs w:val="21"/>
        </w:rPr>
        <w:t xml:space="preserve">介護保険事業計画は、需要（利用者がどれだけ必要とするか）を推計して見込量を定める仕組みです。しかし、その見込量を実際に供給できるかは別の問題です。川崎町では、第1回策定委員会で報告されたとおり既に供給側の制約が現れており、「サービスを増やすかどうか」以前に「現在の供給量を維持できるか」が第10期の前提となります。</w:t>
      </w:r>
    </w:p>
    <w:p>
      <w:pPr>
        <w:spacing w:after="80" w:before="180" w:line="300"/>
      </w:pPr>
      <w:r>
        <w:rPr>
          <w:rFonts w:ascii="游ゴシック" w:cs="游ゴシック" w:eastAsia="游ゴシック" w:hAnsi="游ゴシック"/>
          <w:b w:val="1"/>
          <w:bCs w:val="1"/>
          <w:i w:val="false"/>
          <w:iCs w:val="false"/>
          <w:sz w:val="22"/>
          <w:szCs w:val="22"/>
        </w:rPr>
        <w:t xml:space="preserve">　▌ 提供体制の概況</w:t>
      </w:r>
    </w:p>
    <w:p>
      <w:pPr>
        <w:spacing w:after="80" w:before="50" w:line="320"/>
        <w:ind w:firstLine="200"/>
        <w:jc w:val="left"/>
      </w:pPr>
      <w:r>
        <w:rPr>
          <w:rFonts w:ascii="游ゴシック" w:cs="游ゴシック" w:eastAsia="游ゴシック" w:hAnsi="游ゴシック"/>
          <w:i w:val="false"/>
          <w:iCs w:val="false"/>
          <w:sz w:val="21"/>
          <w:szCs w:val="21"/>
        </w:rPr>
        <w:t xml:space="preserve">町内のサービス提供体制は、特別養護老人ホーム1施設・介護老人保健施設1施設・小規模多機能型居宅介護等の地域密着型サービスが中心です。これらは役場周辺に偏在しており、町域の大部分が山岳・丘陵地帯であることから、中山間部の住民にとっては距離が利用の障壁となります。加えて、町外施設の利用（住所地特例24人・令和7年6月時点）も常態化しています。</w:t>
      </w:r>
    </w:p>
    <w:p>
      <w:pPr>
        <w:spacing w:after="80" w:before="30" w:line="260"/>
        <w:jc w:val="right"/>
      </w:pPr>
      <w:r>
        <w:rPr>
          <w:rFonts w:ascii="游ゴシック" w:cs="游ゴシック" w:eastAsia="游ゴシック" w:hAnsi="游ゴシック"/>
          <w:i/>
          <w:iCs/>
          <w:sz w:val="17"/>
          <w:szCs w:val="17"/>
        </w:rPr>
        <w:t xml:space="preserve">出典：第2章2-7　サービス供給体制の状況。事業所一覧（名称・種別・定員・所在）は確認事項No.29</w:t>
      </w:r>
    </w:p>
    <w:p>
      <w:pPr>
        <w:spacing w:after="100" w:before="200" w:line="320"/>
      </w:pPr>
      <w:r>
        <w:rPr>
          <w:rFonts w:ascii="游ゴシック" w:cs="游ゴシック" w:eastAsia="游ゴシック" w:hAnsi="游ゴシック"/>
          <w:b w:val="1"/>
          <w:bCs w:val="1"/>
          <w:i w:val="false"/>
          <w:iCs w:val="false"/>
          <w:sz w:val="25"/>
          <w:szCs w:val="25"/>
        </w:rPr>
        <w:t xml:space="preserve">7-2　供給の制約とその影響</w:t>
      </w:r>
    </w:p>
    <w:p>
      <w:pPr>
        <w:spacing w:after="80" w:before="180" w:line="300"/>
      </w:pPr>
      <w:r>
        <w:rPr>
          <w:rFonts w:ascii="游ゴシック" w:cs="游ゴシック" w:eastAsia="游ゴシック" w:hAnsi="游ゴシック"/>
          <w:b w:val="1"/>
          <w:bCs w:val="1"/>
          <w:i w:val="false"/>
          <w:iCs w:val="false"/>
          <w:sz w:val="22"/>
          <w:szCs w:val="22"/>
        </w:rPr>
        <w:t xml:space="preserve">　▌ 給付費の平坦化との関係</w:t>
      </w:r>
    </w:p>
    <w:p>
      <w:pPr>
        <w:spacing w:after="80" w:before="50" w:line="320"/>
        <w:ind w:firstLine="200"/>
        <w:jc w:val="left"/>
      </w:pPr>
      <w:r>
        <w:rPr>
          <w:rFonts w:ascii="游ゴシック" w:cs="游ゴシック" w:eastAsia="游ゴシック" w:hAnsi="游ゴシック"/>
          <w:i w:val="false"/>
          <w:iCs w:val="false"/>
          <w:sz w:val="21"/>
          <w:szCs w:val="21"/>
        </w:rPr>
        <w:t xml:space="preserve">標準給付費は令和6年度の1,093,253千円から令和7年度の1,085,203千円へ0.7％減少しています。これが介護予防の成果によるものか、介護人材の不足によるサービス提供体制の制約によるものかの判別が、第10期のサービス見込量の前提となります。第1回策定委員会で報告された1ユニット分の人員削減、訪問介護の実働4名という状況を踏まえると、供給の制約による可能性が高いと考えられ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地域包括ケア「見える化」システムの自然体推計は、認定者数×利用率という需要側だけで見込量を積み上げるため、供給の制約を表現できない。事業所が受けられない量を計画に載せるおそれがあり、供給可能量の把握が不可欠である。</w:t>
      </w:r>
    </w:p>
    <w:p>
      <w:pPr>
        <w:spacing w:after="80" w:before="180" w:line="300"/>
      </w:pPr>
      <w:r>
        <w:rPr>
          <w:rFonts w:ascii="游ゴシック" w:cs="游ゴシック" w:eastAsia="游ゴシック" w:hAnsi="游ゴシック"/>
          <w:b w:val="1"/>
          <w:bCs w:val="1"/>
          <w:i w:val="false"/>
          <w:iCs w:val="false"/>
          <w:sz w:val="22"/>
          <w:szCs w:val="22"/>
        </w:rPr>
        <w:t xml:space="preserve">　▌ 見込量・給付費への影響</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8"/>
        <w:gridCol w:w="102"/>
        <w:gridCol w:w="120"/>
      </w:tblGrid>
      <w:tr>
        <w:tc>
          <w:tcPr>
            <w:tcW w:type="dxa" w:w="7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供給側の事象</w:t>
            </w:r>
          </w:p>
        </w:tc>
        <w:tc>
          <w:tcPr>
            <w:tcW w:type="dxa" w:w="10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見込量への影響</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給付費・保険料への影響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施設・居住系の人員削減</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利用者数が定員まで伸びない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給付費は抑制されるが、必要とする方が入所できない</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訪問介護の実働4名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在宅サービスの利用回数が伸びない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在宅への移行を前提とした見込量が実現しない</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在宅サービスの体制不足</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施設・居住系の需要が減らない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施設・居住系の給付費が高止まりする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事業所の撤退・縮小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見込量そのものを確保できない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町外施設への依存が一層強まり、給付費の管理が難しくなる</w:t>
            </w:r>
          </w:p>
        </w:tc>
      </w:tr>
    </w:tbl>
    <w:p>
      <w:pPr>
        <w:spacing w:after="80" w:before="80" w:line="280"/>
        <w:ind w:left="288"/>
      </w:pPr>
      <w:r>
        <w:rPr>
          <w:rFonts w:ascii="游ゴシック" w:cs="游ゴシック" w:eastAsia="游ゴシック" w:hAnsi="游ゴシック"/>
          <w:i/>
          <w:iCs/>
          <w:sz w:val="19"/>
          <w:szCs w:val="19"/>
        </w:rPr>
        <w:t xml:space="preserve">⚠ 第10期のサービス見込量は、自然体推計を出発点としつつ、事業所ヒアリングによる供給可能量を踏まえて調整します。調整の方針は第2回策定委員会でお諮りします（確認事項No.62）。</w:t>
      </w:r>
    </w:p>
    <w:p>
      <w:pPr>
        <w:spacing w:after="100" w:before="200" w:line="320"/>
      </w:pPr>
      <w:r>
        <w:rPr>
          <w:rFonts w:ascii="游ゴシック" w:cs="游ゴシック" w:eastAsia="游ゴシック" w:hAnsi="游ゴシック"/>
          <w:b w:val="1"/>
          <w:bCs w:val="1"/>
          <w:i w:val="false"/>
          <w:iCs w:val="false"/>
          <w:sz w:val="25"/>
          <w:szCs w:val="25"/>
        </w:rPr>
        <w:t xml:space="preserve">7-3　見込量確保のための方策</w:t>
      </w:r>
    </w:p>
    <w:p>
      <w:pPr>
        <w:spacing w:after="80" w:before="50" w:line="320"/>
        <w:ind w:firstLine="200"/>
        <w:jc w:val="left"/>
      </w:pPr>
      <w:r>
        <w:rPr>
          <w:rFonts w:ascii="游ゴシック" w:cs="游ゴシック" w:eastAsia="游ゴシック" w:hAnsi="游ゴシック"/>
          <w:i w:val="false"/>
          <w:iCs w:val="false"/>
          <w:sz w:val="21"/>
          <w:szCs w:val="21"/>
        </w:rPr>
        <w:t xml:space="preserve">介護保険法第117条第3項第1号は、市町村介護保険事業計画に「各年度における種類ごとの介護給付等対象サービスの量の見込みを確保するための方策」を定めることを求めています。第10期では、次の方策により見込量の確保を図ります。</w:t>
      </w:r>
    </w:p>
    <w:p>
      <w:pPr>
        <w:spacing w:after="40" w:before="40" w:line="300"/>
        <w:ind w:left="431"/>
      </w:pPr>
      <w:r>
        <w:rPr>
          <w:rFonts w:ascii="游ゴシック" w:cs="游ゴシック" w:eastAsia="游ゴシック" w:hAnsi="游ゴシック"/>
          <w:i w:val="false"/>
          <w:iCs w:val="false"/>
          <w:sz w:val="21"/>
          <w:szCs w:val="21"/>
        </w:rPr>
        <w:t xml:space="preserve">①　事業所ヒアリングによる供給可能量の把握（令和8年9〜10月に実施し、以後は毎年度実施する）</w:t>
      </w:r>
      <w:r>
        <w:rPr>
          <w:rFonts w:ascii="游ゴシック" w:cs="游ゴシック" w:eastAsia="游ゴシック" w:hAnsi="游ゴシック"/>
          <w:i w:val="false"/>
          <w:iCs w:val="false"/>
          <w:sz w:val="21"/>
          <w:szCs w:val="21"/>
        </w:rPr>
        <w:t xml:space="preserve"/>
      </w:r>
    </w:p>
    <w:p>
      <w:pPr>
        <w:spacing w:after="40" w:before="40" w:line="300"/>
        <w:ind w:left="431"/>
      </w:pPr>
      <w:r>
        <w:rPr>
          <w:rFonts w:ascii="游ゴシック" w:cs="游ゴシック" w:eastAsia="游ゴシック" w:hAnsi="游ゴシック"/>
          <w:i w:val="false"/>
          <w:iCs w:val="false"/>
          <w:sz w:val="21"/>
          <w:szCs w:val="21"/>
        </w:rPr>
        <w:t xml:space="preserve">②　町外施設の受入余地と建設計画の情報収集、及び住所地特例該当者の所在自治体別内訳の把握</w:t>
      </w:r>
      <w:r>
        <w:rPr>
          <w:rFonts w:ascii="游ゴシック" w:cs="游ゴシック" w:eastAsia="游ゴシック" w:hAnsi="游ゴシック"/>
          <w:i w:val="false"/>
          <w:iCs w:val="false"/>
          <w:sz w:val="21"/>
          <w:szCs w:val="21"/>
        </w:rPr>
        <w:t xml:space="preserve"/>
      </w:r>
    </w:p>
    <w:p>
      <w:pPr>
        <w:spacing w:after="40" w:before="40" w:line="300"/>
        <w:ind w:left="431"/>
      </w:pPr>
      <w:r>
        <w:rPr>
          <w:rFonts w:ascii="游ゴシック" w:cs="游ゴシック" w:eastAsia="游ゴシック" w:hAnsi="游ゴシック"/>
          <w:i w:val="false"/>
          <w:iCs w:val="false"/>
          <w:sz w:val="21"/>
          <w:szCs w:val="21"/>
        </w:rPr>
        <w:t xml:space="preserve">③　中山間・人口減少地域に対応した国・県の制度の活用</w:t>
      </w:r>
      <w:r>
        <w:rPr>
          <w:rFonts w:ascii="游ゴシック" w:cs="游ゴシック" w:eastAsia="游ゴシック" w:hAnsi="游ゴシック"/>
          <w:i w:val="false"/>
          <w:iCs w:val="false"/>
          <w:sz w:val="21"/>
          <w:szCs w:val="21"/>
        </w:rPr>
        <w:t xml:space="preserve"/>
      </w:r>
    </w:p>
    <w:p>
      <w:pPr>
        <w:spacing w:after="40" w:before="40" w:line="300"/>
        <w:ind w:left="431"/>
      </w:pPr>
      <w:r>
        <w:rPr>
          <w:rFonts w:ascii="游ゴシック" w:cs="游ゴシック" w:eastAsia="游ゴシック" w:hAnsi="游ゴシック"/>
          <w:i w:val="false"/>
          <w:iCs w:val="false"/>
          <w:sz w:val="21"/>
          <w:szCs w:val="21"/>
        </w:rPr>
        <w:t xml:space="preserve">④　地域密着型サービスの認知向上と利用促進（第1回策定委員会でのご意見による）</w:t>
      </w:r>
      <w:r>
        <w:rPr>
          <w:rFonts w:ascii="游ゴシック" w:cs="游ゴシック" w:eastAsia="游ゴシック" w:hAnsi="游ゴシック"/>
          <w:i w:val="false"/>
          <w:iCs w:val="false"/>
          <w:sz w:val="21"/>
          <w:szCs w:val="21"/>
        </w:rPr>
        <w:t xml:space="preserve"/>
      </w:r>
    </w:p>
    <w:p>
      <w:pPr>
        <w:spacing w:after="80" w:before="180" w:line="300"/>
      </w:pPr>
      <w:r>
        <w:rPr>
          <w:rFonts w:ascii="游ゴシック" w:cs="游ゴシック" w:eastAsia="游ゴシック" w:hAnsi="游ゴシック"/>
          <w:b w:val="1"/>
          <w:bCs w:val="1"/>
          <w:i w:val="false"/>
          <w:iCs w:val="false"/>
          <w:sz w:val="22"/>
          <w:szCs w:val="22"/>
        </w:rPr>
        <w:t xml:space="preserve">　▌ 中山間・人口減少地域への対応</w:t>
      </w:r>
    </w:p>
    <w:p>
      <w:pPr>
        <w:spacing w:after="80" w:before="50" w:line="320"/>
        <w:ind w:firstLine="200"/>
        <w:jc w:val="left"/>
      </w:pPr>
      <w:r>
        <w:rPr>
          <w:rFonts w:ascii="游ゴシック" w:cs="游ゴシック" w:eastAsia="游ゴシック" w:hAnsi="游ゴシック"/>
          <w:i w:val="false"/>
          <w:iCs w:val="false"/>
          <w:sz w:val="21"/>
          <w:szCs w:val="21"/>
        </w:rPr>
        <w:t xml:space="preserve">川崎町は過疎地域に指定されており、中山間・人口減少地域を対象とした制度の適用を受けられる立場にあります。介護報酬上は、中山間地域等における小規模事業所加算等の対象地域となり得ます。国・県の支援制度の活用可能性については、町の関係課及び宮城県への照会を進めており（確認事項No.63〜67）、その結果をVer.2.0で本節に反映します。</w:t>
      </w:r>
    </w:p>
    <w:p>
      <w:pPr>
        <w:spacing w:after="80" w:before="80" w:line="280"/>
        <w:ind w:left="288"/>
      </w:pPr>
      <w:r>
        <w:rPr>
          <w:rFonts w:ascii="游ゴシック" w:cs="游ゴシック" w:eastAsia="游ゴシック" w:hAnsi="游ゴシック"/>
          <w:i/>
          <w:iCs/>
          <w:sz w:val="19"/>
          <w:szCs w:val="19"/>
        </w:rPr>
        <w:t xml:space="preserve">⚠ 介護報酬上の加算は保険給付であり、算定が進むと給付費が増加し保険料に影響します。一方で、加算がなければ事業所の運営が成り立たない面もあります。この両面を第2回策定委員会でお示しし、方針をお諮りします。</w:t>
      </w:r>
    </w:p>
    <w:p>
      <w:pPr>
        <w:spacing w:after="100" w:before="200" w:line="320"/>
      </w:pPr>
      <w:r>
        <w:rPr>
          <w:rFonts w:ascii="游ゴシック" w:cs="游ゴシック" w:eastAsia="游ゴシック" w:hAnsi="游ゴシック"/>
          <w:b w:val="1"/>
          <w:bCs w:val="1"/>
          <w:i w:val="false"/>
          <w:iCs w:val="false"/>
          <w:sz w:val="25"/>
          <w:szCs w:val="25"/>
        </w:rPr>
        <w:t xml:space="preserve">7-4　介護人材の確保</w:t>
      </w:r>
    </w:p>
    <w:p>
      <w:pPr>
        <w:spacing w:after="80" w:before="180" w:line="300"/>
      </w:pPr>
      <w:r>
        <w:rPr>
          <w:rFonts w:ascii="游ゴシック" w:cs="游ゴシック" w:eastAsia="游ゴシック" w:hAnsi="游ゴシック"/>
          <w:b w:val="1"/>
          <w:bCs w:val="1"/>
          <w:i w:val="false"/>
          <w:iCs w:val="false"/>
          <w:sz w:val="22"/>
          <w:szCs w:val="22"/>
        </w:rPr>
        <w:t xml:space="preserve">　▌ 施策の方向性</w:t>
      </w:r>
    </w:p>
    <w:p>
      <w:pPr>
        <w:spacing w:after="80" w:before="50" w:line="320"/>
        <w:ind w:firstLine="200"/>
        <w:jc w:val="left"/>
      </w:pPr>
      <w:r>
        <w:rPr>
          <w:rFonts w:ascii="游ゴシック" w:cs="游ゴシック" w:eastAsia="游ゴシック" w:hAnsi="游ゴシック"/>
          <w:i w:val="false"/>
          <w:iCs w:val="false"/>
          <w:sz w:val="21"/>
          <w:szCs w:val="21"/>
        </w:rPr>
        <w:t xml:space="preserve">介護人材の確保は全国的・全県的な課題であり、町単独での対応には限界があります。第10期では、町の役割を「①国・県の制度を町内事業所に確実に届けること」「②町でなければできない地域内での掘り起こしを行うこと」「③事業所の実情を継続的に把握すること」の3点に整理し、実効性のある範囲で取り組み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介護人材の確保に係る町単独事業は、原則として地域支援事業（介護保険特別会計）の対象外であり、第1号被保険者の保険料では賄えず、町の一般財源による負担となる。実施可能な範囲は、国・県の財政支援の有無を踏まえて判断する。</w:t>
      </w:r>
    </w:p>
    <w:p>
      <w:pPr>
        <w:spacing w:after="80" w:before="180" w:line="300"/>
      </w:pPr>
      <w:r>
        <w:rPr>
          <w:rFonts w:ascii="游ゴシック" w:cs="游ゴシック" w:eastAsia="游ゴシック" w:hAnsi="游ゴシック"/>
          <w:b w:val="1"/>
          <w:bCs w:val="1"/>
          <w:i w:val="false"/>
          <w:iCs w:val="false"/>
          <w:sz w:val="22"/>
          <w:szCs w:val="22"/>
        </w:rPr>
        <w:t xml:space="preserve">　▌ 主な事業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96"/>
        <w:gridCol w:w="200"/>
        <w:gridCol w:w="80"/>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No</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事業名</w:t>
            </w:r>
          </w:p>
        </w:tc>
        <w:tc>
          <w:tcPr>
            <w:tcW w:type="dxa" w:w="2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内容</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主な実施主体</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県事業の周知・申請支援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介護福祉士等修学資金貸付、介護テクノロジー導入支援、職場環境改善等の県事業を町内事業所・住民に周知し、申請を支援する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地域内での資格取得の促進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町の広報・回覧を通じた介護職員初任者研修の受講勧奨。町内在住者の資格取得を後押しする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保健福祉課・事業所</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中学・高校段階からの働きかけ</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町内の中学校・高校と連携した介護の仕事の紹介、職場体験の受入</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保健福祉課・教育委員会・事業所</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介護助手（元気高齢者）の活用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直接介護以外の業務を担う介護助手の導入を支援し、介護職員が専門業務に集中できる体制をつくる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事業所・地域包括支援センター</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外国人介護人材の受入支援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県の受入支援事業・定着支援事業の周知。住居・日本語・地域との関係など生活面の相談対応</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保健福祉課・町民生活課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移住定住施策との連携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移住支援の対象職種に介護・福祉職を位置付けることを検討し、移住相談と就労支援を接続する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企画課・保健福祉課</w:t>
            </w:r>
          </w:p>
        </w:tc>
      </w:tr>
    </w:tbl>
    <w:p>
      <w:pPr>
        <w:spacing w:after="80" w:before="80" w:line="280"/>
        <w:ind w:left="288"/>
      </w:pPr>
      <w:r>
        <w:rPr>
          <w:rFonts w:ascii="游ゴシック" w:cs="游ゴシック" w:eastAsia="游ゴシック" w:hAnsi="游ゴシック"/>
          <w:i/>
          <w:iCs/>
          <w:sz w:val="19"/>
          <w:szCs w:val="19"/>
        </w:rPr>
        <w:t xml:space="preserve">⚠ 各事業の実施は、確認事項No.63〜68に対する町・県のご回答を踏まえて確定します。財政負担を伴う事業は、令和9年度当初予算の編成過程で判断します。</w:t>
      </w:r>
    </w:p>
    <w:p>
      <w:pPr>
        <w:spacing w:after="100" w:before="200" w:line="320"/>
      </w:pPr>
      <w:r>
        <w:rPr>
          <w:rFonts w:ascii="游ゴシック" w:cs="游ゴシック" w:eastAsia="游ゴシック" w:hAnsi="游ゴシック"/>
          <w:b w:val="1"/>
          <w:bCs w:val="1"/>
          <w:i w:val="false"/>
          <w:iCs w:val="false"/>
          <w:sz w:val="25"/>
          <w:szCs w:val="25"/>
        </w:rPr>
        <w:t xml:space="preserve">7-5　介護現場の生産性向上</w:t>
      </w:r>
    </w:p>
    <w:p>
      <w:pPr>
        <w:spacing w:after="80" w:before="50" w:line="320"/>
        <w:ind w:firstLine="200"/>
        <w:jc w:val="left"/>
      </w:pPr>
      <w:r>
        <w:rPr>
          <w:rFonts w:ascii="游ゴシック" w:cs="游ゴシック" w:eastAsia="游ゴシック" w:hAnsi="游ゴシック"/>
          <w:i w:val="false"/>
          <w:iCs w:val="false"/>
          <w:sz w:val="21"/>
          <w:szCs w:val="21"/>
        </w:rPr>
        <w:t xml:space="preserve">限られた人員でサービスを維持するため、介護現場の生産性向上に取り組みます。国は介護テクノロジーの導入と業務改善を一体で進める方針を示しており、宮城県は地域医療介護総合確保基金により導入費用を補助し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96"/>
        <w:gridCol w:w="200"/>
        <w:gridCol w:w="80"/>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No</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事業名</w:t>
            </w:r>
          </w:p>
        </w:tc>
        <w:tc>
          <w:tcPr>
            <w:tcW w:type="dxa" w:w="2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内容</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主な実施主体</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介護テクノロジーの導入支援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介護ロボット・見守りセンサー・インカム・介護記録ソフトの導入について、県の補助事業を周知し申請を支援する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保健福祉課・事業所</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ICTによる情報連携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ケアプランデータ連携、医療・介護の情報共有の仕組みづくり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保健福祉課・地域包括支援センター・国保川崎病院</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事務負担の軽減</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町が事業所に求める提出書類・様式の見直し。国の標準様式の活用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生産性向上の取組の共有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事業所間で改善の事例を共有する場を設ける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保健福祉課・事業所</w:t>
            </w:r>
          </w:p>
        </w:tc>
      </w:tr>
    </w:tbl>
    <w:p>
      <w:pPr>
        <w:spacing w:after="80" w:before="50" w:line="320"/>
        <w:ind w:firstLine="200"/>
        <w:jc w:val="left"/>
      </w:pPr>
      <w:r>
        <w:rPr>
          <w:rFonts w:ascii="游ゴシック" w:cs="游ゴシック" w:eastAsia="游ゴシック" w:hAnsi="游ゴシック"/>
          <w:i w:val="false"/>
          <w:iCs w:val="false"/>
          <w:sz w:val="21"/>
          <w:szCs w:val="21"/>
        </w:rPr>
        <w:t xml:space="preserve">とくに事務負担の軽減は、町が自らの裁量で実施でき、費用を要しない取組です。第10期では、町が事業所に求めている様式を棚卸しし、国の標準様式に合わせる作業を計画期間の前半で行います。</w:t>
      </w:r>
    </w:p>
    <w:p>
      <w:pPr>
        <w:spacing w:after="100" w:before="200" w:line="320"/>
      </w:pPr>
      <w:r>
        <w:rPr>
          <w:rFonts w:ascii="游ゴシック" w:cs="游ゴシック" w:eastAsia="游ゴシック" w:hAnsi="游ゴシック"/>
          <w:b w:val="1"/>
          <w:bCs w:val="1"/>
          <w:i w:val="false"/>
          <w:iCs w:val="false"/>
          <w:sz w:val="25"/>
          <w:szCs w:val="25"/>
        </w:rPr>
        <w:t xml:space="preserve">7-6　事業所との継続的な対話</w:t>
      </w:r>
    </w:p>
    <w:p>
      <w:pPr>
        <w:spacing w:after="80" w:before="50" w:line="320"/>
        <w:ind w:firstLine="200"/>
        <w:jc w:val="left"/>
      </w:pPr>
      <w:r>
        <w:rPr>
          <w:rFonts w:ascii="游ゴシック" w:cs="游ゴシック" w:eastAsia="游ゴシック" w:hAnsi="游ゴシック"/>
          <w:i w:val="false"/>
          <w:iCs w:val="false"/>
          <w:sz w:val="21"/>
          <w:szCs w:val="21"/>
        </w:rPr>
        <w:t xml:space="preserve">第1回策定委員会で明らかになった供給側の実態は、これまで町が定期的に把握する仕組みを持っていなかったために、計画策定の場ではじめて共有されたものです。第10期では、事業所との対話を計画期間を通じた仕組みとして位置付けます。</w:t>
      </w:r>
    </w:p>
    <w:p>
      <w:pPr>
        <w:spacing w:after="40" w:before="40" w:line="300"/>
        <w:ind w:left="431"/>
      </w:pPr>
      <w:r>
        <w:rPr>
          <w:rFonts w:ascii="游ゴシック" w:cs="游ゴシック" w:eastAsia="游ゴシック" w:hAnsi="游ゴシック"/>
          <w:i w:val="false"/>
          <w:iCs w:val="false"/>
          <w:sz w:val="21"/>
          <w:szCs w:val="21"/>
        </w:rPr>
        <w:t xml:space="preserve">①　年1回の事業所ヒアリング（職員数、稼働の状況、経営の状況、必要な支援）</w:t>
      </w:r>
      <w:r>
        <w:rPr>
          <w:rFonts w:ascii="游ゴシック" w:cs="游ゴシック" w:eastAsia="游ゴシック" w:hAnsi="游ゴシック"/>
          <w:i w:val="false"/>
          <w:iCs w:val="false"/>
          <w:sz w:val="21"/>
          <w:szCs w:val="21"/>
        </w:rPr>
        <w:t xml:space="preserve"/>
      </w:r>
    </w:p>
    <w:p>
      <w:pPr>
        <w:spacing w:after="40" w:before="40" w:line="300"/>
        <w:ind w:left="431"/>
      </w:pPr>
      <w:r>
        <w:rPr>
          <w:rFonts w:ascii="游ゴシック" w:cs="游ゴシック" w:eastAsia="游ゴシック" w:hAnsi="游ゴシック"/>
          <w:i w:val="false"/>
          <w:iCs w:val="false"/>
          <w:sz w:val="21"/>
          <w:szCs w:val="21"/>
        </w:rPr>
        <w:t xml:space="preserve">②　地域ケア会議・地域密着型サービス運営委員会等の既存の場を活用した情報共有</w:t>
      </w:r>
      <w:r>
        <w:rPr>
          <w:rFonts w:ascii="游ゴシック" w:cs="游ゴシック" w:eastAsia="游ゴシック" w:hAnsi="游ゴシック"/>
          <w:i w:val="false"/>
          <w:iCs w:val="false"/>
          <w:sz w:val="21"/>
          <w:szCs w:val="21"/>
        </w:rPr>
        <w:t xml:space="preserve"/>
      </w:r>
    </w:p>
    <w:p>
      <w:pPr>
        <w:spacing w:after="40" w:before="40" w:line="300"/>
        <w:ind w:left="431"/>
      </w:pPr>
      <w:r>
        <w:rPr>
          <w:rFonts w:ascii="游ゴシック" w:cs="游ゴシック" w:eastAsia="游ゴシック" w:hAnsi="游ゴシック"/>
          <w:i w:val="false"/>
          <w:iCs w:val="false"/>
          <w:sz w:val="21"/>
          <w:szCs w:val="21"/>
        </w:rPr>
        <w:t xml:space="preserve">③　把握した内容の策定委員会及び地域包括ケア推進の場への報告</w:t>
      </w:r>
      <w:r>
        <w:rPr>
          <w:rFonts w:ascii="游ゴシック" w:cs="游ゴシック" w:eastAsia="游ゴシック" w:hAnsi="游ゴシック"/>
          <w:i w:val="false"/>
          <w:iCs w:val="false"/>
          <w:sz w:val="21"/>
          <w:szCs w:val="21"/>
        </w:rPr>
        <w:t xml:space="preserve"/>
      </w:r>
    </w:p>
    <w:p>
      <w:pPr>
        <w:spacing w:after="80" w:before="50" w:line="320"/>
        <w:ind w:firstLine="200"/>
        <w:jc w:val="left"/>
      </w:pPr>
      <w:r>
        <w:rPr>
          <w:rFonts w:ascii="游ゴシック" w:cs="游ゴシック" w:eastAsia="游ゴシック" w:hAnsi="游ゴシック"/>
          <w:i w:val="false"/>
          <w:iCs w:val="false"/>
          <w:sz w:val="21"/>
          <w:szCs w:val="21"/>
        </w:rPr>
        <w:t xml:space="preserve">この仕組みは、保険者機能強化推進交付金の評価指標「介護人材の確保・サービス提供基盤の整備」にも対応します。同交付金の当該目標は令和8年度で73点（満点100点・全国平均50.83点・全国218位）であり、取組を計画に位置付け、実施し、評価・公表することで、さらに得点を高める余地があります。</w:t>
      </w:r>
    </w:p>
    <w:p>
      <w:pPr>
        <w:spacing w:after="80" w:before="180" w:line="300"/>
      </w:pPr>
      <w:r>
        <w:rPr>
          <w:rFonts w:ascii="游ゴシック" w:cs="游ゴシック" w:eastAsia="游ゴシック" w:hAnsi="游ゴシック"/>
          <w:b w:val="1"/>
          <w:bCs w:val="1"/>
          <w:i w:val="false"/>
          <w:iCs w:val="false"/>
          <w:sz w:val="22"/>
          <w:szCs w:val="22"/>
        </w:rPr>
        <w:t xml:space="preserve">　▌ 成果指標（KPI）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36"/>
        <w:gridCol w:w="80"/>
        <w:gridCol w:w="72"/>
        <w:gridCol w:w="112"/>
      </w:tblGrid>
      <w:tr>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指標</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現状値</w:t>
            </w:r>
          </w:p>
        </w:tc>
        <w:tc>
          <w:tcPr>
            <w:tcW w:type="dxa" w:w="7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目標値（R11）</w:t>
            </w:r>
          </w:p>
        </w:tc>
        <w:tc>
          <w:tcPr>
            <w:tcW w:type="dxa" w:w="11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出典・備考</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事業所ヒアリングの実施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未実施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年1回（毎年度）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町が把握している町内事業所の職員数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把握率100％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事業所ヒアリング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訪問介護の実働職員数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4名（第1回策定委員会での報告）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現状維持以上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事業所ヒアリング。出典・時点は確認事項No.51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介護テクノロジー導入支援事業の町内活用件数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累計3件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県補助事業の交付決定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町内在住者の介護職員初任者研修の修了者数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累計10名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保健福祉課</w:t>
            </w:r>
          </w:p>
        </w:tc>
      </w:tr>
    </w:tbl>
    <w:p>
      <w:pPr>
        <w:spacing w:after="80" w:before="80" w:line="280"/>
        <w:ind w:left="288"/>
      </w:pPr>
      <w:r>
        <w:rPr>
          <w:rFonts w:ascii="游ゴシック" w:cs="游ゴシック" w:eastAsia="游ゴシック" w:hAnsi="游ゴシック"/>
          <w:i/>
          <w:iCs/>
          <w:sz w:val="19"/>
          <w:szCs w:val="19"/>
        </w:rPr>
        <w:t xml:space="preserve">⚠ 現状値・目標値は第2回策定委員会での協議事項です。事業所ヒアリングの結果を踏まえてVer.2.0で確定します。</w:t>
      </w:r>
    </w:p>
    <w:p>
      <w:pPr>
        <w:pageBreakBefore/>
        <w:spacing w:after="0" w:before="0" w:line="240"/>
      </w:pPr>
      <w:r>
        <w:rPr>
          <w:rFonts w:ascii="游ゴシック" w:cs="游ゴシック" w:eastAsia="游ゴシック" w:hAnsi="游ゴシック"/>
          <w:i w:val="false"/>
          <w:iCs w:val="false"/>
          <w:sz w:val="21"/>
          <w:szCs w:val="21"/>
        </w:rPr>
        <w:t xml:space="preserve"/>
      </w:r>
    </w:p>
    <w:p>
      <w:pPr>
        <w:spacing w:after="0" w:before="240" w:line="320"/>
      </w:pPr>
      <w:r>
        <w:rPr>
          <w:rFonts w:ascii="游ゴシック" w:cs="游ゴシック" w:eastAsia="游ゴシック" w:hAnsi="游ゴシック"/>
          <w:b w:val="1"/>
          <w:bCs w:val="1"/>
          <w:i w:val="false"/>
          <w:iCs w:val="false"/>
          <w:sz w:val="30"/>
          <w:szCs w:val="30"/>
        </w:rPr>
        <w:t xml:space="preserve">第 8 章</w:t>
      </w:r>
    </w:p>
    <w:p>
      <w:pPr>
        <w:spacing w:after="140" w:before="0" w:line="320"/>
      </w:pPr>
      <w:r>
        <w:rPr>
          <w:rFonts w:ascii="游ゴシック" w:cs="游ゴシック" w:eastAsia="游ゴシック" w:hAnsi="游ゴシック"/>
          <w:b w:val="1"/>
          <w:bCs w:val="1"/>
          <w:i w:val="false"/>
          <w:iCs w:val="false"/>
          <w:sz w:val="30"/>
          <w:szCs w:val="30"/>
        </w:rPr>
        <w:t xml:space="preserve">地域マネジメントの推進</w:t>
      </w:r>
    </w:p>
    <w:p>
      <w:pPr>
        <w:spacing w:after="200" w:before="200"/>
      </w:pPr>
      <w:r>
        <w:rPr>
          <w:rFonts w:ascii="游ゴシック" w:cs="游ゴシック" w:eastAsia="游ゴシック" w:hAnsi="游ゴシック"/>
          <w:i w:val="false"/>
          <w:iCs w:val="false"/>
          <w:sz w:val="21"/>
          <w:szCs w:val="21"/>
        </w:rPr>
        <w:t xml:space="preserve"/>
      </w:r>
    </w:p>
    <w:p>
      <w:pPr>
        <w:spacing w:after="80" w:before="50" w:line="320"/>
        <w:ind w:firstLine="200"/>
        <w:jc w:val="left"/>
      </w:pPr>
      <w:r>
        <w:rPr>
          <w:rFonts w:ascii="游ゴシック" w:cs="游ゴシック" w:eastAsia="游ゴシック" w:hAnsi="游ゴシック"/>
          <w:i w:val="false"/>
          <w:iCs w:val="false"/>
          <w:sz w:val="21"/>
          <w:szCs w:val="21"/>
        </w:rPr>
        <w:t xml:space="preserve">本章は、第9期計画で「第5章第4節 地域マネジメントの推進」として置かれていた事項を、独立した章として整理するものです。第9期計画では、施策体系表では「第6章 地域マネジメントに関する事項」、目次と本文では「第5章第4節」となっており、章立てが一致していませんでした。第10期では独立章として位置付け、保険者としての管理・評価の機能をまとめます。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本章は、保険者機能強化推進交付金・介護保険保険者努力支援交付金の評価指標に直接対応する。令和8年度の評価では、推進交付金 目標Ⅰ（ⅰ）4「評価結果の活用」のア〜エ16点がすべて0点となり、同 目標Ⅱ（ⅰ）2「給付費適正化事業の取組状況」のうちア（3事業の全てを実施している）6点が0点となった。本章の各節は、この22点の回復を具体的な目的とする（残る5点は第6章6-1の認知症施策推進計画の策定手続による。第3章3-3）。</w:t>
      </w:r>
    </w:p>
    <w:p>
      <w:pPr>
        <w:spacing w:after="80" w:before="50" w:line="320"/>
        <w:ind w:firstLine="200"/>
        <w:jc w:val="left"/>
      </w:pPr>
      <w:r>
        <w:rPr>
          <w:rFonts w:ascii="游ゴシック" w:cs="游ゴシック" w:eastAsia="游ゴシック" w:hAnsi="游ゴシック"/>
          <w:i w:val="false"/>
          <w:iCs w:val="false"/>
          <w:sz w:val="21"/>
          <w:szCs w:val="21"/>
        </w:rPr>
        <w:t xml:space="preserve">別冊「施策・事業の体系（Ｃ案）」の柱7（地域マネジメントに関する事項）の9事業と、本章及び第7章の節との対応は次のとおりです。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8"/>
        <w:gridCol w:w="30"/>
        <w:gridCol w:w="102"/>
      </w:tblGrid>
      <w:tr>
        <w:tc>
          <w:tcPr>
            <w:tcW w:type="dxa" w:w="16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柱7の事業</w:t>
            </w:r>
          </w:p>
        </w:tc>
        <w:tc>
          <w:tcPr>
            <w:tcW w:type="dxa"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区分</w:t>
            </w:r>
          </w:p>
        </w:tc>
        <w:tc>
          <w:tcPr>
            <w:tcW w:type="dxa" w:w="10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本計画での位置</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１　介護サービスの質の向上　（１）研修・指導・苦情対応・ケアプラン点検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8-1</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２　介護費用適正化の推進　（１）介護給付の適正化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8-2</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３　助言・指導の充実　（１）事業所への助言・指導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8-1</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４　情報提供・相談体制の充実　（１）情報提供・相談体制の充実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8-5</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５　福祉・介護人材の確保・定着支援【重点】　（１）介護人材の確保・育成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第7章7-4</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６　介護現場の生産性向上（介護ロボット・ＩＣＴの導入支援）　（１）介護ロボット・ＩＣＴの導入支援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継続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第7章7-5</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７　自立支援・重度化防止に向けた目標と指標　（１）目標と指標の設定・管理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第10章10-4</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８　計画値と実績値の乖離のモニタリングと公表　（１）乖離の把握と公表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8-3</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９　町外施設利用・住所地特例への対応　（１）住所地特例該当者の把握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第2章2-3・第9章9-1</w:t>
            </w:r>
          </w:p>
        </w:tc>
      </w:tr>
    </w:tbl>
    <w:p>
      <w:pPr>
        <w:spacing w:after="80" w:before="180" w:line="300"/>
      </w:pPr>
      <w:r>
        <w:rPr>
          <w:rFonts w:ascii="游ゴシック" w:cs="游ゴシック" w:eastAsia="游ゴシック" w:hAnsi="游ゴシック"/>
          <w:b w:val="1"/>
          <w:bCs w:val="1"/>
          <w:i w:val="false"/>
          <w:iCs w:val="false"/>
          <w:sz w:val="22"/>
          <w:szCs w:val="22"/>
        </w:rPr>
        <w:t xml:space="preserve">　▌ 新たに立てる事業・広げる事業（新規2件・拡充3件）</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96"/>
        <w:gridCol w:w="144"/>
        <w:gridCol w:w="136"/>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w:t>
            </w:r>
          </w:p>
        </w:tc>
        <w:tc>
          <w:tcPr>
            <w:tcW w:type="dxa" w:w="14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根拠となる事実</w:t>
            </w:r>
          </w:p>
        </w:tc>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第10期での内容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（１）研修・指導・苦情対応・ケアプラン点検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交：「ケアプラン点検の実施状況」は令和6年度8点から令和7・8年度は4／16点に下がり、全国平均6.4点を下回る（県内13位）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素案は複数箇所でケアプラン点検を施策として掲げているが、交付金評価では令和7年度から全国平均を下回っている。点検件数と実施方法を確認中【町確認】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（１）介護人材の確保・育成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交：推進 目標Ⅲ「確保・定着の取組状況」30点満点・「庁内庁外の連携体制」34点満点でいずれも県内1位である一方、「介護の仕事の魅力に関する研修」0／12点・「定着・資質向上に関する研修」0／12点。委：1ユニット分の人員削減、職員80名→50名の見込み、人材紹介に1件約100万円の紹介料</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第2回策定委員会 選択4。町単独事業は地域支援事業の対象外であり第1号保険料では賄えない。体制は県内1位だが研修の実施が3年連続で2項目とも0点（計24点）。ただし同規模かつ過疎地域の285保険者でも満点は15件・9件（3〜5％）にとどまり、取れなくても同規模団体との比較では不利にならない。第2回策定委員会の選択4のご判断による（素案3-3）</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（１）目標と指標の設定・管理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交：第9期のアウトカム指標は調整済み認定率を令和5年の水準（17.6％）に維持すること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各指標に指標名・区分・現状値・目標値・集計担当・集計方法及び頻度・未把握の場合の対応を必ず付す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（１）乖離の把握と公表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交：令和8年度の保険者機能強化推進交付金で「評価結果の活用」が令和7年度の満点16点から0点。県内35保険者中34位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体系（案）にない施策。7に含めるか8として立てるかを確認中（確認事項No.108）</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（１）住所地特例該当者の把握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実：住所地特例該当者24人（令和7年6月時点）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体系（案）にない施策。町外施設（柴田町・大河原町・仙台市等）への依存が常態化しており、所在自治体内訳の把握を見込量算定と広域連携の根拠とする</w:t>
            </w:r>
          </w:p>
        </w:tc>
      </w:tr>
    </w:tbl>
    <w:p>
      <w:pPr>
        <w:spacing w:after="80" w:before="50" w:line="320"/>
        <w:ind w:firstLine="200"/>
        <w:jc w:val="left"/>
      </w:pPr>
      <w:r>
        <w:rPr>
          <w:rFonts w:ascii="游ゴシック" w:cs="游ゴシック" w:eastAsia="游ゴシック" w:hAnsi="游ゴシック"/>
          <w:i w:val="false"/>
          <w:iCs w:val="false"/>
          <w:sz w:val="21"/>
          <w:szCs w:val="21"/>
        </w:rPr>
        <w:t xml:space="preserve">⚠ 柱7の事業は、本章のほか第7章（介護人材・生産性向上）及び第10章（目標と指標の管理）に分かれて位置付けています。区分「拡充」は、第9期から引き続き実施するものの、交付金の評価結果を踏まえて内容を広げる事業です。</w:t>
      </w:r>
    </w:p>
    <w:p>
      <w:pPr>
        <w:spacing w:after="100" w:before="200" w:line="320"/>
      </w:pPr>
      <w:r>
        <w:rPr>
          <w:rFonts w:ascii="游ゴシック" w:cs="游ゴシック" w:eastAsia="游ゴシック" w:hAnsi="游ゴシック"/>
          <w:b w:val="1"/>
          <w:bCs w:val="1"/>
          <w:i w:val="false"/>
          <w:iCs w:val="false"/>
          <w:sz w:val="25"/>
          <w:szCs w:val="25"/>
        </w:rPr>
        <w:t xml:space="preserve">8-1　介護サービスの質の向上</w:t>
      </w:r>
    </w:p>
    <w:p>
      <w:pPr>
        <w:spacing w:after="80" w:before="50" w:line="320"/>
        <w:ind w:firstLine="200"/>
        <w:jc w:val="left"/>
      </w:pPr>
      <w:r>
        <w:rPr>
          <w:rFonts w:ascii="游ゴシック" w:cs="游ゴシック" w:eastAsia="游ゴシック" w:hAnsi="游ゴシック"/>
          <w:i w:val="false"/>
          <w:iCs w:val="false"/>
          <w:sz w:val="21"/>
          <w:szCs w:val="21"/>
        </w:rPr>
        <w:t xml:space="preserve">町は保険者として、地域密着型サービスの指定・指導監督を行うとともに、事業所からの相談に応じ、必要な助言・指導を行います。地域密着型サービス運営委員会を活用し、サービスの内容と運営状況を継続的に確認します。</w:t>
      </w:r>
    </w:p>
    <w:p>
      <w:pPr>
        <w:spacing w:after="80" w:before="50" w:line="320"/>
        <w:ind w:firstLine="200"/>
        <w:jc w:val="left"/>
      </w:pPr>
      <w:r>
        <w:rPr>
          <w:rFonts w:ascii="游ゴシック" w:cs="游ゴシック" w:eastAsia="游ゴシック" w:hAnsi="游ゴシック"/>
          <w:i w:val="false"/>
          <w:iCs w:val="false"/>
          <w:sz w:val="21"/>
          <w:szCs w:val="21"/>
        </w:rPr>
        <w:t xml:space="preserve">利用者・家族からの苦情・相談については、地域包括支援センター及び保健福祉課が窓口となり、国民健康保険団体連合会の苦情処理体制と連携して対応します。</w:t>
      </w:r>
    </w:p>
    <w:p>
      <w:pPr>
        <w:spacing w:after="80" w:before="50" w:line="320"/>
        <w:ind w:firstLine="200"/>
        <w:jc w:val="left"/>
      </w:pPr>
      <w:r>
        <w:rPr>
          <w:rFonts w:ascii="游ゴシック" w:cs="游ゴシック" w:eastAsia="游ゴシック" w:hAnsi="游ゴシック"/>
          <w:i w:val="false"/>
          <w:iCs w:val="false"/>
          <w:sz w:val="21"/>
          <w:szCs w:val="21"/>
        </w:rPr>
        <w:t xml:space="preserve">なお、介護現場の生産性向上（ICT・介護ロボット・介護助手の活用）は、保険者としての支援と事業所への支援の両面を持つため、第7章7-5に整理しています。</w:t>
      </w:r>
    </w:p>
    <w:p>
      <w:pPr>
        <w:spacing w:after="100" w:before="200" w:line="320"/>
      </w:pPr>
      <w:r>
        <w:rPr>
          <w:rFonts w:ascii="游ゴシック" w:cs="游ゴシック" w:eastAsia="游ゴシック" w:hAnsi="游ゴシック"/>
          <w:b w:val="1"/>
          <w:bCs w:val="1"/>
          <w:i w:val="false"/>
          <w:iCs w:val="false"/>
          <w:sz w:val="25"/>
          <w:szCs w:val="25"/>
        </w:rPr>
        <w:t xml:space="preserve">8-2　介護給付の適正化</w:t>
      </w:r>
    </w:p>
    <w:p>
      <w:pPr>
        <w:spacing w:after="80" w:before="50" w:line="320"/>
        <w:ind w:firstLine="200"/>
        <w:jc w:val="left"/>
      </w:pPr>
      <w:r>
        <w:rPr>
          <w:rFonts w:ascii="游ゴシック" w:cs="游ゴシック" w:eastAsia="游ゴシック" w:hAnsi="游ゴシック"/>
          <w:i w:val="false"/>
          <w:iCs w:val="false"/>
          <w:sz w:val="21"/>
          <w:szCs w:val="21"/>
        </w:rPr>
        <w:t xml:space="preserve">介護給付の適正化は、必要なサービスを適切に提供しつつ、不適切な給付を削減する取組です。令和8年度の交付金評価では、「給付費適正化事業の取組状況」のうちア（3事業の全てを実施している・配点6点）が0点となりました。一方、同じ項目のイ〜オ（縦覧点検10帳票のうち効果が高い4帳票の点検、有料老人ホーム等の入居者を含むケアプラン点検、福祉用具貸与後のリハビリテーション専門職等による点検の仕組み、福祉用具購入費・住宅改修費の妥当性を検討する仕組み）は30点すべて満点であり、「給付費適正化方策の策定状況」（配点32点）も3年連続で満点です。方策と個別の点検は整っており、3事業をそろって実施していることの確認だけが欠けている状態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2"/>
        <w:gridCol w:w="120"/>
        <w:gridCol w:w="108"/>
      </w:tblGrid>
      <w:tr>
        <w:tc>
          <w:tcPr>
            <w:tcW w:type="dxa" w:w="7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内容</w:t>
            </w:r>
          </w:p>
        </w:tc>
        <w:tc>
          <w:tcPr>
            <w:tcW w:type="dxa" w:w="10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実施の考え方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要介護認定の適正化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認定調査票の点検、審査会資料の平準化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全件点検を基本とする。3事業の一つとして実施状況を確認する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ケアプランの点検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居宅介護支援事業所のケアプランを抽出して点検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年間の点検件数を定めて実施する。3事業の一つとして実施状況を確認する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医療情報との突合・縦覧点検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国民健康保険団体連合会の情報を用いた重複請求等の点検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縦覧点検4帳票・医療情報との突合はいずれも交付金で満点。3事業の一つとして継続する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福祉用具・住宅改修等の点検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利用状況の確認、必要に応じた訪問調査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ケアプラン点検と一体で実施する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介護給付費通知</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利用者本人への給付費の通知</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実施の要否を費用対効果を踏まえて検討する</w:t>
            </w:r>
          </w:p>
        </w:tc>
      </w:tr>
    </w:tbl>
    <w:p>
      <w:pPr>
        <w:spacing w:after="80" w:before="80" w:line="280"/>
        <w:ind w:left="288"/>
      </w:pPr>
      <w:r>
        <w:rPr>
          <w:rFonts w:ascii="游ゴシック" w:cs="游ゴシック" w:eastAsia="游ゴシック" w:hAnsi="游ゴシック"/>
          <w:i/>
          <w:iCs/>
          <w:sz w:val="19"/>
          <w:szCs w:val="19"/>
        </w:rPr>
        <w:t xml:space="preserve">⚠ 介護給付適正化事業の区分は国が整理を進めており、第10期の区分は国の基本指針の確定を待って整理します（確認事項No.69）。年間の点検件数等の目標値は、第2回策定委員会でお諮りします。</w:t>
      </w:r>
    </w:p>
    <w:p>
      <w:pPr>
        <w:spacing w:after="100" w:before="200" w:line="320"/>
      </w:pPr>
      <w:r>
        <w:rPr>
          <w:rFonts w:ascii="游ゴシック" w:cs="游ゴシック" w:eastAsia="游ゴシック" w:hAnsi="游ゴシック"/>
          <w:b w:val="1"/>
          <w:bCs w:val="1"/>
          <w:i w:val="false"/>
          <w:iCs w:val="false"/>
          <w:sz w:val="25"/>
          <w:szCs w:val="25"/>
        </w:rPr>
        <w:t xml:space="preserve">8-3　計画値と実績値の乖離のモニタリングと公表</w:t>
      </w:r>
    </w:p>
    <w:p>
      <w:pPr>
        <w:spacing w:after="80" w:before="50" w:line="320"/>
        <w:ind w:firstLine="200"/>
        <w:jc w:val="left"/>
      </w:pPr>
      <w:r>
        <w:rPr>
          <w:rFonts w:ascii="游ゴシック" w:cs="游ゴシック" w:eastAsia="游ゴシック" w:hAnsi="游ゴシック"/>
          <w:i w:val="false"/>
          <w:iCs w:val="false"/>
          <w:sz w:val="21"/>
          <w:szCs w:val="21"/>
        </w:rPr>
        <w:t xml:space="preserve">第9期計画では、サービス種類別の計画値と実績値を対比して公表する仕組みがありませんでした。第10期では、毎年度、サービス種類別に計画値と実績値を対比し、乖離の要因を分析したうえで公表します。</w:t>
      </w:r>
    </w:p>
    <w:p>
      <w:pPr>
        <w:spacing w:after="80" w:before="50" w:line="320"/>
        <w:ind w:firstLine="200"/>
        <w:jc w:val="left"/>
      </w:pPr>
      <w:r>
        <w:rPr>
          <w:rFonts w:ascii="游ゴシック" w:cs="游ゴシック" w:eastAsia="游ゴシック" w:hAnsi="游ゴシック"/>
          <w:i w:val="false"/>
          <w:iCs w:val="false"/>
          <w:sz w:val="21"/>
          <w:szCs w:val="21"/>
        </w:rPr>
        <w:t xml:space="preserve">この取組は、交付金の活動指標群のうち「後期高齢者数と給付費の伸び率の比較」（推進 目標Ⅰ（ⅱ）2・配点12点）に対応します。令和8年度の評価は4段階すべて0点でした。なお、同じ活動指標群の「今年度の評価得点」（配点12点）は、交付金の合計得点の全国順位により厚生労働省が算定するもので、本町は上位3割までの3段階9点を得ています（上位1割に相当する残り3点が未取得）。町の取組により直接動かせるのは前者であり、様式を定めて継続することで得点できます。</w:t>
      </w:r>
    </w:p>
    <w:p>
      <w:pPr>
        <w:spacing w:after="40" w:before="40" w:line="300"/>
        <w:ind w:left="431"/>
      </w:pPr>
      <w:r>
        <w:rPr>
          <w:rFonts w:ascii="游ゴシック" w:cs="游ゴシック" w:eastAsia="游ゴシック" w:hAnsi="游ゴシック"/>
          <w:i w:val="false"/>
          <w:iCs w:val="false"/>
          <w:sz w:val="21"/>
          <w:szCs w:val="21"/>
        </w:rPr>
        <w:t xml:space="preserve">①　毎年度、サービス種類別の計画値と実績値を対比する（様式を固定する）</w:t>
      </w:r>
      <w:r>
        <w:rPr>
          <w:rFonts w:ascii="游ゴシック" w:cs="游ゴシック" w:eastAsia="游ゴシック" w:hAnsi="游ゴシック"/>
          <w:i w:val="false"/>
          <w:iCs w:val="false"/>
          <w:sz w:val="21"/>
          <w:szCs w:val="21"/>
        </w:rPr>
        <w:t xml:space="preserve"/>
      </w:r>
    </w:p>
    <w:p>
      <w:pPr>
        <w:spacing w:after="40" w:before="40" w:line="300"/>
        <w:ind w:left="431"/>
      </w:pPr>
      <w:r>
        <w:rPr>
          <w:rFonts w:ascii="游ゴシック" w:cs="游ゴシック" w:eastAsia="游ゴシック" w:hAnsi="游ゴシック"/>
          <w:i w:val="false"/>
          <w:iCs w:val="false"/>
          <w:sz w:val="21"/>
          <w:szCs w:val="21"/>
        </w:rPr>
        <w:t xml:space="preserve">②　乖離が生じた種類について、需要側（利用者の増減）と供給側（事業所の体制）の別に要因を分析する</w:t>
      </w:r>
      <w:r>
        <w:rPr>
          <w:rFonts w:ascii="游ゴシック" w:cs="游ゴシック" w:eastAsia="游ゴシック" w:hAnsi="游ゴシック"/>
          <w:i w:val="false"/>
          <w:iCs w:val="false"/>
          <w:sz w:val="21"/>
          <w:szCs w:val="21"/>
        </w:rPr>
        <w:t xml:space="preserve"/>
      </w:r>
    </w:p>
    <w:p>
      <w:pPr>
        <w:spacing w:after="40" w:before="40" w:line="300"/>
        <w:ind w:left="431"/>
      </w:pPr>
      <w:r>
        <w:rPr>
          <w:rFonts w:ascii="游ゴシック" w:cs="游ゴシック" w:eastAsia="游ゴシック" w:hAnsi="游ゴシック"/>
          <w:i w:val="false"/>
          <w:iCs w:val="false"/>
          <w:sz w:val="21"/>
          <w:szCs w:val="21"/>
        </w:rPr>
        <w:t xml:space="preserve">③　後期高齢者数の伸び率と給付費の伸び率を比較し、その差の要因を記録する</w:t>
      </w:r>
      <w:r>
        <w:rPr>
          <w:rFonts w:ascii="游ゴシック" w:cs="游ゴシック" w:eastAsia="游ゴシック" w:hAnsi="游ゴシック"/>
          <w:i w:val="false"/>
          <w:iCs w:val="false"/>
          <w:sz w:val="21"/>
          <w:szCs w:val="21"/>
        </w:rPr>
        <w:t xml:space="preserve"/>
      </w:r>
    </w:p>
    <w:p>
      <w:pPr>
        <w:spacing w:after="40" w:before="40" w:line="300"/>
        <w:ind w:left="431"/>
      </w:pPr>
      <w:r>
        <w:rPr>
          <w:rFonts w:ascii="游ゴシック" w:cs="游ゴシック" w:eastAsia="游ゴシック" w:hAnsi="游ゴシック"/>
          <w:i w:val="false"/>
          <w:iCs w:val="false"/>
          <w:sz w:val="21"/>
          <w:szCs w:val="21"/>
        </w:rPr>
        <w:t xml:space="preserve">④　分析の結果を町ホームページで公表し、次年度の事業計画に反映する</w:t>
      </w:r>
      <w:r>
        <w:rPr>
          <w:rFonts w:ascii="游ゴシック" w:cs="游ゴシック" w:eastAsia="游ゴシック" w:hAnsi="游ゴシック"/>
          <w:i w:val="false"/>
          <w:iCs w:val="false"/>
          <w:sz w:val="21"/>
          <w:szCs w:val="21"/>
        </w:rPr>
        <w:t xml:space="preserve"/>
      </w:r>
    </w:p>
    <w:p>
      <w:pPr>
        <w:spacing w:after="80" w:before="30" w:line="260"/>
        <w:jc w:val="right"/>
      </w:pPr>
      <w:r>
        <w:rPr>
          <w:rFonts w:ascii="游ゴシック" w:cs="游ゴシック" w:eastAsia="游ゴシック" w:hAnsi="游ゴシック"/>
          <w:i/>
          <w:iCs/>
          <w:sz w:val="17"/>
          <w:szCs w:val="17"/>
        </w:rPr>
        <w:t xml:space="preserve">出典：サービス別 計画値・実績値 対比表（別冊）</w:t>
      </w:r>
    </w:p>
    <w:p>
      <w:pPr>
        <w:spacing w:after="100" w:before="200" w:line="320"/>
      </w:pPr>
      <w:r>
        <w:rPr>
          <w:rFonts w:ascii="游ゴシック" w:cs="游ゴシック" w:eastAsia="游ゴシック" w:hAnsi="游ゴシック"/>
          <w:b w:val="1"/>
          <w:bCs w:val="1"/>
          <w:i w:val="false"/>
          <w:iCs w:val="false"/>
          <w:sz w:val="25"/>
          <w:szCs w:val="25"/>
        </w:rPr>
        <w:t xml:space="preserve">8-4　評価結果の活用と公表</w:t>
      </w:r>
    </w:p>
    <w:p>
      <w:pPr>
        <w:spacing w:after="80" w:before="50" w:line="320"/>
        <w:ind w:firstLine="200"/>
        <w:jc w:val="left"/>
      </w:pPr>
      <w:r>
        <w:rPr>
          <w:rFonts w:ascii="游ゴシック" w:cs="游ゴシック" w:eastAsia="游ゴシック" w:hAnsi="游ゴシック"/>
          <w:i w:val="false"/>
          <w:iCs w:val="false"/>
          <w:sz w:val="21"/>
          <w:szCs w:val="21"/>
        </w:rPr>
        <w:t xml:space="preserve">令和8年度の交付金評価では、「評価結果の活用」（推進交付金 目標Ⅰ（ⅰ）4・配点16点）のア〜エがすべて0点となりました（令和6・7年度はいずれも各4点で満点）。この指標が問うているのは、施策そのものの評価ではなく、交付金の評価結果を庁内外で共有し、施策の改善に活用し、公表しているかどうかです。評価指標の本文に沿って、次の4つを手順として定めます。</w:t>
      </w:r>
    </w:p>
    <w:p>
      <w:pPr>
        <w:spacing w:after="40" w:before="40" w:line="300"/>
        <w:ind w:left="431"/>
      </w:pPr>
      <w:r>
        <w:rPr>
          <w:rFonts w:ascii="游ゴシック" w:cs="游ゴシック" w:eastAsia="游ゴシック" w:hAnsi="游ゴシック"/>
          <w:i w:val="false"/>
          <w:iCs w:val="false"/>
          <w:sz w:val="21"/>
          <w:szCs w:val="21"/>
        </w:rPr>
        <w:t xml:space="preserve">①　交付金の評価結果を庁内の関係各課が集まって共有し、課題と今後の改善の方向性について意見交換する場を、年に1回以上設ける（要件ア・4点）</w:t>
      </w:r>
      <w:r>
        <w:rPr>
          <w:rFonts w:ascii="游ゴシック" w:cs="游ゴシック" w:eastAsia="游ゴシック" w:hAnsi="游ゴシック"/>
          <w:i w:val="false"/>
          <w:iCs w:val="false"/>
          <w:sz w:val="21"/>
          <w:szCs w:val="21"/>
        </w:rPr>
        <w:t xml:space="preserve"/>
      </w:r>
    </w:p>
    <w:p>
      <w:pPr>
        <w:spacing w:after="40" w:before="40" w:line="300"/>
        <w:ind w:left="431"/>
      </w:pPr>
      <w:r>
        <w:rPr>
          <w:rFonts w:ascii="游ゴシック" w:cs="游ゴシック" w:eastAsia="游ゴシック" w:hAnsi="游ゴシック"/>
          <w:i w:val="false"/>
          <w:iCs w:val="false"/>
          <w:sz w:val="21"/>
          <w:szCs w:val="21"/>
        </w:rPr>
        <w:t xml:space="preserve">②　①の場に、庁内のみならず庁外の関係者が参画する。策定委員会又は地域ケア会議といった既存の会議体に議題として追加し、同様の意見交換を行う形で足りる（要件イ・4点）</w:t>
      </w:r>
      <w:r>
        <w:rPr>
          <w:rFonts w:ascii="游ゴシック" w:cs="游ゴシック" w:eastAsia="游ゴシック" w:hAnsi="游ゴシック"/>
          <w:i w:val="false"/>
          <w:iCs w:val="false"/>
          <w:sz w:val="21"/>
          <w:szCs w:val="21"/>
        </w:rPr>
        <w:t xml:space="preserve"/>
      </w:r>
    </w:p>
    <w:p>
      <w:pPr>
        <w:spacing w:after="40" w:before="40" w:line="300"/>
        <w:ind w:left="431"/>
      </w:pPr>
      <w:r>
        <w:rPr>
          <w:rFonts w:ascii="游ゴシック" w:cs="游ゴシック" w:eastAsia="游ゴシック" w:hAnsi="游ゴシック"/>
          <w:i w:val="false"/>
          <w:iCs w:val="false"/>
          <w:sz w:val="21"/>
          <w:szCs w:val="21"/>
        </w:rPr>
        <w:t xml:space="preserve">③　①の場における意見を、翌年度の予算編成及び施策の改善・見直しに反映する。全ての事業に網羅的に反映することまでは求められず、一部の事業に活用した実績があれば要件を満たす（要件ウ・4点）</w:t>
      </w:r>
      <w:r>
        <w:rPr>
          <w:rFonts w:ascii="游ゴシック" w:cs="游ゴシック" w:eastAsia="游ゴシック" w:hAnsi="游ゴシック"/>
          <w:i w:val="false"/>
          <w:iCs w:val="false"/>
          <w:sz w:val="21"/>
          <w:szCs w:val="21"/>
        </w:rPr>
        <w:t xml:space="preserve"/>
      </w:r>
    </w:p>
    <w:p>
      <w:pPr>
        <w:spacing w:after="40" w:before="40" w:line="300"/>
        <w:ind w:left="431"/>
      </w:pPr>
      <w:r>
        <w:rPr>
          <w:rFonts w:ascii="游ゴシック" w:cs="游ゴシック" w:eastAsia="游ゴシック" w:hAnsi="游ゴシック"/>
          <w:i w:val="false"/>
          <w:iCs w:val="false"/>
          <w:sz w:val="21"/>
          <w:szCs w:val="21"/>
        </w:rPr>
        <w:t xml:space="preserve">④　直近年度の評価結果を、全ての評価項目（ア〜エ等の小項目レベル）ごとの得点獲得状況まで、町ホームページで公表する。公表の時期・様式をあらかじめ定め、担当を固定する（要件エ・4点）</w:t>
      </w:r>
      <w:r>
        <w:rPr>
          <w:rFonts w:ascii="游ゴシック" w:cs="游ゴシック" w:eastAsia="游ゴシック" w:hAnsi="游ゴシック"/>
          <w:i w:val="false"/>
          <w:iCs w:val="false"/>
          <w:sz w:val="21"/>
          <w:szCs w:val="21"/>
        </w:rPr>
        <w:t xml:space="preserve"/>
      </w:r>
    </w:p>
    <w:p>
      <w:pPr>
        <w:spacing w:after="80" w:before="80" w:line="280"/>
        <w:ind w:left="288"/>
      </w:pPr>
      <w:r>
        <w:rPr>
          <w:rFonts w:ascii="游ゴシック" w:cs="游ゴシック" w:eastAsia="游ゴシック" w:hAnsi="游ゴシック"/>
          <w:b w:val="1"/>
          <w:bCs w:val="1"/>
          <w:i w:val="false"/>
          <w:iCs w:val="false"/>
          <w:sz w:val="20"/>
          <w:szCs w:val="20"/>
        </w:rPr>
        <w:t xml:space="preserve">● 「評価結果の活用」の16点は、新たな事業も予算も要さずに回復できる。要件は評価を実施することではなく、交付金の評価結果を共有・活用・公表する手順が定まっていることである。とりわけ要件エ（公表）は、宮城県内35保険者の得点率が82.9％であり、全国の50.3％を大きく上回る。県内では評価結果の公表が定着している。</w:t>
      </w:r>
    </w:p>
    <w:p>
      <w:pPr>
        <w:spacing w:after="100" w:before="200" w:line="320"/>
      </w:pPr>
      <w:r>
        <w:rPr>
          <w:rFonts w:ascii="游ゴシック" w:cs="游ゴシック" w:eastAsia="游ゴシック" w:hAnsi="游ゴシック"/>
          <w:b w:val="1"/>
          <w:bCs w:val="1"/>
          <w:i w:val="false"/>
          <w:iCs w:val="false"/>
          <w:sz w:val="25"/>
          <w:szCs w:val="25"/>
        </w:rPr>
        <w:t xml:space="preserve">8-5　情報提供・相談体制の充実</w:t>
      </w:r>
    </w:p>
    <w:p>
      <w:pPr>
        <w:spacing w:after="80" w:before="50" w:line="320"/>
        <w:ind w:firstLine="200"/>
        <w:jc w:val="left"/>
      </w:pPr>
      <w:r>
        <w:rPr>
          <w:rFonts w:ascii="游ゴシック" w:cs="游ゴシック" w:eastAsia="游ゴシック" w:hAnsi="游ゴシック"/>
          <w:i w:val="false"/>
          <w:iCs w:val="false"/>
          <w:sz w:val="21"/>
          <w:szCs w:val="21"/>
        </w:rPr>
        <w:t xml:space="preserve">介護保険制度とサービスの情報を、町広報誌・町ホームページ・地域の会合等を通じて継続的に提供します。とくに、令和8年6〜7月のニーズ調査では、家族・友人以外に相談できる相手がいない方が38.8％（n=484）あり、世帯構成による差は小さいことが分かりました。相談窓口が届いていないことが、川崎町に共通する課題です。</w:t>
      </w:r>
    </w:p>
    <w:p>
      <w:pPr>
        <w:spacing w:after="80" w:before="50" w:line="320"/>
        <w:ind w:firstLine="200"/>
        <w:jc w:val="left"/>
      </w:pPr>
      <w:r>
        <w:rPr>
          <w:rFonts w:ascii="游ゴシック" w:cs="游ゴシック" w:eastAsia="游ゴシック" w:hAnsi="游ゴシック"/>
          <w:i w:val="false"/>
          <w:iCs w:val="false"/>
          <w:sz w:val="21"/>
          <w:szCs w:val="21"/>
        </w:rPr>
        <w:t xml:space="preserve">地域包括支援センターの認知度を高めるため、窓口の周知を計画的に行うとともに、民生委員・ふれあいネットワーク・ユニバーサルサポーターといった地域の担い手を通じた「つなぎ」の経路を整えます。第1回策定委員会でご意見のあった地域密着型サービスの認知向上も、この取組に含めます。</w:t>
      </w:r>
    </w:p>
    <w:p>
      <w:pPr>
        <w:pageBreakBefore/>
        <w:spacing w:after="0" w:before="0" w:line="240"/>
      </w:pPr>
      <w:r>
        <w:rPr>
          <w:rFonts w:ascii="游ゴシック" w:cs="游ゴシック" w:eastAsia="游ゴシック" w:hAnsi="游ゴシック"/>
          <w:i w:val="false"/>
          <w:iCs w:val="false"/>
          <w:sz w:val="21"/>
          <w:szCs w:val="21"/>
        </w:rPr>
        <w:t xml:space="preserve"/>
      </w:r>
    </w:p>
    <w:p>
      <w:pPr>
        <w:spacing w:after="0" w:before="240" w:line="320"/>
      </w:pPr>
      <w:r>
        <w:rPr>
          <w:rFonts w:ascii="游ゴシック" w:cs="游ゴシック" w:eastAsia="游ゴシック" w:hAnsi="游ゴシック"/>
          <w:b w:val="1"/>
          <w:bCs w:val="1"/>
          <w:i w:val="false"/>
          <w:iCs w:val="false"/>
          <w:sz w:val="30"/>
          <w:szCs w:val="30"/>
        </w:rPr>
        <w:t xml:space="preserve">第 9 章</w:t>
      </w:r>
    </w:p>
    <w:p>
      <w:pPr>
        <w:spacing w:after="140" w:before="0" w:line="320"/>
      </w:pPr>
      <w:r>
        <w:rPr>
          <w:rFonts w:ascii="游ゴシック" w:cs="游ゴシック" w:eastAsia="游ゴシック" w:hAnsi="游ゴシック"/>
          <w:b w:val="1"/>
          <w:bCs w:val="1"/>
          <w:i w:val="false"/>
          <w:iCs w:val="false"/>
          <w:sz w:val="30"/>
          <w:szCs w:val="30"/>
        </w:rPr>
        <w:t xml:space="preserve">介護保険サービス見込量と保険料</w:t>
      </w:r>
    </w:p>
    <w:p>
      <w:pPr>
        <w:spacing w:after="200" w:before="200"/>
      </w:pPr>
      <w:r>
        <w:rPr>
          <w:rFonts w:ascii="游ゴシック" w:cs="游ゴシック" w:eastAsia="游ゴシック" w:hAnsi="游ゴシック"/>
          <w:i w:val="false"/>
          <w:iCs w:val="false"/>
          <w:sz w:val="21"/>
          <w:szCs w:val="21"/>
        </w:rPr>
        <w:t xml:space="preserve"/>
      </w:r>
    </w:p>
    <w:p>
      <w:pPr>
        <w:spacing w:after="80" w:before="50" w:line="320"/>
        <w:ind w:firstLine="200"/>
        <w:jc w:val="left"/>
      </w:pPr>
      <w:r>
        <w:rPr>
          <w:rFonts w:ascii="游ゴシック" w:cs="游ゴシック" w:eastAsia="游ゴシック" w:hAnsi="游ゴシック"/>
          <w:i w:val="false"/>
          <w:iCs w:val="false"/>
          <w:sz w:val="21"/>
          <w:szCs w:val="21"/>
        </w:rPr>
        <w:t xml:space="preserve">本章では、第10期計画期間（令和9〜11年度）の介護保険サービス見込量と、それに基づく介護保険料を示します。本素案Ver.1.25では、令和7年度（完結年度）の介護保険事業状況報告（年報）を基礎として算定したサービス種類別の見込量・給付費・保険料を掲載しています。所得段階別第1号被保険者数（第10〜13段階）と介護給付費準備基金の令和8年度末残高の確認、及び令和9年度の介護報酬改定の内容を踏まえ、第3回策定委員会（令和9年1月）で協議のうえ確定します。なお、見込量の前提となるサービス提供体制と介護人材の状況は第7章に整理しています。策定委員会は3回構成であり、第3回で答申の内容を確定する予定です。</w:t>
      </w:r>
    </w:p>
    <w:p>
      <w:pPr>
        <w:spacing w:after="80" w:before="80" w:line="280"/>
        <w:ind w:left="288"/>
      </w:pPr>
      <w:r>
        <w:rPr>
          <w:rFonts w:ascii="游ゴシック" w:cs="游ゴシック" w:eastAsia="游ゴシック" w:hAnsi="游ゴシック"/>
          <w:b w:val="1"/>
          <w:bCs w:val="1"/>
          <w:i w:val="false"/>
          <w:iCs w:val="false"/>
          <w:sz w:val="20"/>
          <w:szCs w:val="20"/>
        </w:rPr>
        <w:t xml:space="preserve">● 本章は介護保険法第117条第2項第2号「各年度における種類ごとの介護給付等対象サービスの量の見込み」に対応する計画の核心部分である。</w:t>
      </w:r>
    </w:p>
    <w:p>
      <w:pPr>
        <w:spacing w:after="100" w:before="200" w:line="320"/>
      </w:pPr>
      <w:r>
        <w:rPr>
          <w:rFonts w:ascii="游ゴシック" w:cs="游ゴシック" w:eastAsia="游ゴシック" w:hAnsi="游ゴシック"/>
          <w:b w:val="1"/>
          <w:bCs w:val="1"/>
          <w:i w:val="false"/>
          <w:iCs w:val="false"/>
          <w:sz w:val="25"/>
          <w:szCs w:val="25"/>
        </w:rPr>
        <w:t xml:space="preserve">9-1　サービス見込量の推計</w:t>
      </w:r>
    </w:p>
    <w:p>
      <w:pPr>
        <w:spacing w:after="80" w:before="180" w:line="300"/>
      </w:pPr>
      <w:r>
        <w:rPr>
          <w:rFonts w:ascii="游ゴシック" w:cs="游ゴシック" w:eastAsia="游ゴシック" w:hAnsi="游ゴシック"/>
          <w:b w:val="1"/>
          <w:bCs w:val="1"/>
          <w:i w:val="false"/>
          <w:iCs w:val="false"/>
          <w:sz w:val="22"/>
          <w:szCs w:val="22"/>
        </w:rPr>
        <w:t xml:space="preserve">　▌ 推計の基本ロジック</w:t>
      </w:r>
    </w:p>
    <w:p>
      <w:pPr>
        <w:spacing w:after="80" w:before="50" w:line="320"/>
        <w:ind w:firstLine="200"/>
        <w:jc w:val="left"/>
      </w:pPr>
      <w:r>
        <w:rPr>
          <w:rFonts w:ascii="游ゴシック" w:cs="游ゴシック" w:eastAsia="游ゴシック" w:hAnsi="游ゴシック"/>
          <w:i w:val="false"/>
          <w:iCs w:val="false"/>
          <w:sz w:val="21"/>
          <w:szCs w:val="21"/>
        </w:rPr>
        <w:t xml:space="preserve">サービス見込量は、次の考え方により算定しました。</w:t>
      </w:r>
    </w:p>
    <w:p>
      <w:pPr>
        <w:spacing w:after="200" w:before="200" w:line="360"/>
        <w:jc w:val="center"/>
      </w:pPr>
      <w:r>
        <w:rPr>
          <w:rFonts w:ascii="游ゴシック" w:cs="游ゴシック" w:eastAsia="游ゴシック" w:hAnsi="游ゴシック"/>
          <w:b w:val="1"/>
          <w:bCs w:val="1"/>
          <w:i w:val="false"/>
          <w:iCs w:val="false"/>
          <w:sz w:val="26"/>
          <w:szCs w:val="26"/>
        </w:rPr>
        <w:t xml:space="preserve">見込量 ＝ 要介護度別の令和7年度実績 × 要介護度別の認定者数の伸び</w:t>
      </w:r>
    </w:p>
    <w:p>
      <w:pPr>
        <w:spacing w:after="80" w:before="50" w:line="320"/>
        <w:ind w:firstLine="200"/>
        <w:jc w:val="left"/>
      </w:pPr>
      <w:r>
        <w:rPr>
          <w:rFonts w:ascii="游ゴシック" w:cs="游ゴシック" w:eastAsia="游ゴシック" w:hAnsi="游ゴシック"/>
          <w:i w:val="false"/>
          <w:iCs w:val="false"/>
          <w:sz w:val="21"/>
          <w:szCs w:val="21"/>
        </w:rPr>
        <w:t xml:space="preserve">令和7年度（完結年度）の実績を基準とし、要介護度別の認定者数の伸びのみを乗じています。サービス利用率、1人1月あたりの利用回（日）数、1人1月あたりの給付費（単価）は、いずれも令和7年度の水準で据え置きました。住所地特例による町外施設の利用は、令和7年度の実績に含まれているため、そのまま見込量に反映されています。</w:t>
      </w:r>
    </w:p>
    <w:p>
      <w:pPr>
        <w:spacing w:after="80" w:before="50" w:line="320"/>
        <w:ind w:firstLine="200"/>
        <w:jc w:val="left"/>
      </w:pPr>
      <w:r>
        <w:rPr>
          <w:rFonts w:ascii="游ゴシック" w:cs="游ゴシック" w:eastAsia="游ゴシック" w:hAnsi="游ゴシック"/>
          <w:i w:val="false"/>
          <w:iCs w:val="false"/>
          <w:sz w:val="21"/>
          <w:szCs w:val="21"/>
        </w:rPr>
        <w:t xml:space="preserve">この考え方は、地域包括ケア「見える化」システムの推計ツールが用いる自然体推計と同じ構造です。自然体推計では、要介護認定率、施設・居住系サービスの利用率、在宅サービスの利用率、1人1月あたりの利用回（日）数について、直近年度の実績が将来も継続すると仮定して推計します。本計画では、このうち利用率と利用回（日）数に伸びを乗せず、令和7年度の水準を据え置く方法を採りました。</w:t>
      </w:r>
    </w:p>
    <w:p>
      <w:pPr>
        <w:spacing w:after="80" w:before="50" w:line="320"/>
        <w:ind w:firstLine="200"/>
        <w:jc w:val="left"/>
      </w:pPr>
      <w:r>
        <w:rPr>
          <w:rFonts w:ascii="游ゴシック" w:cs="游ゴシック" w:eastAsia="游ゴシック" w:hAnsi="游ゴシック"/>
          <w:i w:val="false"/>
          <w:iCs w:val="false"/>
          <w:sz w:val="21"/>
          <w:szCs w:val="21"/>
        </w:rPr>
        <w:t xml:space="preserve">据え置いた理由は2つあります。第一に、川崎町は利用者数の少ないサービスが多く、令和6年度→令和7年度の伸びをそのまま3年間乗じると、同じサービスの中で要介護度によって年＋39％と年▲58％が同居するなど、計画値として説明できない水準になるためです（訪問介護の1人1月あたり回数は、要介護1が10.4回→14.5回、要介護4が42.1回→17.7回と逆方向に動いています）。第二に、第9期計画は実績を5〜6％上回って推移しており（令和6年度の対計画比95.3％、令和7年度94.0％）、伸びを重ねることが適当でないためです。介護予防の強化やサービス提供体制の制約を見込量にどこまで反映させるかは、第2回・第3回策定委員会で協議します。</w:t>
      </w:r>
    </w:p>
    <w:p>
      <w:pPr>
        <w:spacing w:after="80" w:before="180" w:line="300"/>
      </w:pPr>
      <w:r>
        <w:rPr>
          <w:rFonts w:ascii="游ゴシック" w:cs="游ゴシック" w:eastAsia="游ゴシック" w:hAnsi="游ゴシック"/>
          <w:b w:val="1"/>
          <w:bCs w:val="1"/>
          <w:i w:val="false"/>
          <w:iCs w:val="false"/>
          <w:sz w:val="22"/>
          <w:szCs w:val="22"/>
        </w:rPr>
        <w:t xml:space="preserve">　▌ 推計の前提（4要素）</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要素</w:t>
            </w:r>
          </w:p>
        </w:tc>
        <w:tc>
          <w:tcPr>
            <w:tcW w:type="pct" w:w="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採用データ・方針</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根拠・出典</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①人口推計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国立社会保障・人口問題研究所「日本の地域別将来推計人口（令和5年推計）」に基づく第1号被保険者数（令和9年度3,231人・令和10年度3,203人・令和11年度3,177人）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社人研R5推計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②認定者数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性別・年齢5歳階級別・要介護度別の認定率を将来人口に乗じて推計（令和9年度580人・令和10年度576人・令和11年度581人）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見える化システム推計値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③利用率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令和7年度の要介護度別の実績（受給者数÷認定者数）を据え置き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年報・様式1の6／1の7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④1人当たり</w:t>
              <w:br/>
              <w:t xml:space="preserve">　利用量・単価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令和7年度の要介護度別の1人1月あたり利用回（日）数及び給付費を据え置き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年報・様式1の7／様式2</w:t>
            </w:r>
          </w:p>
        </w:tc>
      </w:tr>
    </w:tbl>
    <w:p>
      <w:pPr>
        <w:spacing w:after="80" w:before="180" w:line="300"/>
      </w:pPr>
      <w:r>
        <w:rPr>
          <w:rFonts w:ascii="游ゴシック" w:cs="游ゴシック" w:eastAsia="游ゴシック" w:hAnsi="游ゴシック"/>
          <w:b w:val="1"/>
          <w:bCs w:val="1"/>
          <w:i w:val="false"/>
          <w:iCs w:val="false"/>
          <w:sz w:val="22"/>
          <w:szCs w:val="22"/>
        </w:rPr>
        <w:t xml:space="preserve">　▌ 見込量算定 6ステップ</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Step</w:t>
            </w:r>
          </w:p>
        </w:tc>
        <w:tc>
          <w:tcPr>
            <w:tcW w:type="pct" w:w="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作業</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内容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実績の整理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介護保険事業状況報告（年報・令和7年度）から、サービス種類別・要介護度別の受給者数・利用回（日）数・給付費を取得</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認定者数の推計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性別・年齢5歳階級別の認定率を社人研推計人口に乗じ、要介護度別の認定者数を令和9〜11年度について推計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伸び率の算定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要介護度別に、令和8年度を1.000とした令和9〜11年度の認定者数の伸び率を算定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見込量の算定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令和7年度の要介護度別実績に伸び率を乗じ、サービス種類別・年度別の利用者数・利用回（日）数・給付費を算定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その他給付費の算定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特定入所者介護サービス費等・高額介護サービス費等・高額医療合算介護サービス費等・審査支払手数料を令和7年度実績から算定し、標準給付費見込額を確定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検証</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令和7年度の基準値が見える化システムの総括表と一致することを32サービスで確認。仙南圏域との比較は第2回策定委員会で行う</w:t>
            </w:r>
          </w:p>
        </w:tc>
      </w:tr>
    </w:tbl>
    <w:p>
      <w:pPr>
        <w:spacing w:after="80" w:before="180" w:line="300"/>
      </w:pPr>
      <w:r>
        <w:rPr>
          <w:rFonts w:ascii="游ゴシック" w:cs="游ゴシック" w:eastAsia="游ゴシック" w:hAnsi="游ゴシック"/>
          <w:b w:val="1"/>
          <w:bCs w:val="1"/>
          <w:i w:val="false"/>
          <w:iCs w:val="false"/>
          <w:sz w:val="22"/>
          <w:szCs w:val="22"/>
        </w:rPr>
        <w:t xml:space="preserve">　▌ 年度別サービス見込量</w:t>
      </w:r>
    </w:p>
    <w:p>
      <w:pPr>
        <w:spacing w:after="80" w:before="50" w:line="320"/>
        <w:ind w:firstLine="200"/>
        <w:jc w:val="left"/>
      </w:pPr>
      <w:r>
        <w:rPr>
          <w:rFonts w:ascii="游ゴシック" w:cs="游ゴシック" w:eastAsia="游ゴシック" w:hAnsi="游ゴシック"/>
          <w:i w:val="false"/>
          <w:iCs w:val="false"/>
          <w:sz w:val="21"/>
          <w:szCs w:val="21"/>
        </w:rPr>
        <w:t xml:space="preserve">第10期計画期間中（令和9〜11年度）及び中長期（令和17年度・令和22年度）の年度別・サービス種類別の見込量は、次のとおりです。給付費は年間の累計額、利用者数と回（日）数は1月当たりの数です。令和7年度の実績は、介護保険事業状況報告（年報・令和7年度）の要介護度別の値から積み上げたもので、地域包括ケア「見える化」システムの総括表の令和7年度と32サービスすべてで一致することを確認しています。令和17年度及び令和22年度は、利用率・1人1月当たりの利用回（日）数及び単価を令和7年度で固定し、要介護度別の認定者数の伸びのみを反映した参考値です。</w:t>
      </w:r>
    </w:p>
    <w:p>
      <w:pPr>
        <w:spacing w:after="80" w:before="180" w:line="300"/>
      </w:pPr>
      <w:r>
        <w:rPr>
          <w:rFonts w:ascii="游ゴシック" w:cs="游ゴシック" w:eastAsia="游ゴシック" w:hAnsi="游ゴシック"/>
          <w:b w:val="1"/>
          <w:bCs w:val="1"/>
          <w:i w:val="false"/>
          <w:iCs w:val="false"/>
          <w:sz w:val="22"/>
          <w:szCs w:val="22"/>
        </w:rPr>
        <w:t xml:space="preserve">　▌ 介護予防サービスの見込量</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16"/>
        <w:gridCol w:w="90"/>
        <w:gridCol w:w="72"/>
        <w:gridCol w:w="90"/>
        <w:gridCol w:w="90"/>
        <w:gridCol w:w="90"/>
        <w:gridCol w:w="90"/>
        <w:gridCol w:w="81"/>
        <w:gridCol w:w="81"/>
      </w:tblGrid>
      <w:tr>
        <w:tc>
          <w:tcPr>
            <w:tcW w:type="dxa" w:w="21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サービス種類</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項目</w:t>
            </w:r>
          </w:p>
        </w:tc>
        <w:tc>
          <w:tcPr>
            <w:tcW w:type="dxa" w:w="7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単位</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令和7年度</w:t>
              <w:br/>
              <w:t xml:space="preserve">実績</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令和9年度</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令和10年度</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令和11年度</w:t>
            </w:r>
          </w:p>
        </w:tc>
        <w:tc>
          <w:tcPr>
            <w:tcW w:type="dxa" w:w="8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令和17年度</w:t>
            </w:r>
          </w:p>
        </w:tc>
        <w:tc>
          <w:tcPr>
            <w:tcW w:type="dxa" w:w="8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令和22年度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定期巡回・随時対応型訪問介護看護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389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383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431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437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490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508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夜間対応型訪問介護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地域密着型通所介護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377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374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401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408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457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474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認知症対応型通所介護</w:t>
              <w:br/>
              <w:t xml:space="preserve">（介護予防を含む）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小規模多機能型居宅介護</w:t>
              <w:br/>
              <w:t xml:space="preserve">（介護予防を含む）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認知症対応型共同生活介護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80,059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81,115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80,775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81,659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90,923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96,805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24.5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24.8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24.8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25.0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27.9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29.7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地域密着型特定施設入居者生活介護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地域密着型介護老人福祉施設入所者生活介護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96,212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98,308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98,656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98,336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106,357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118,970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26.6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29.4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32.9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看護小規模多機能型居宅介護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809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825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825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825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858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1,007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0.3</w:t>
            </w:r>
          </w:p>
        </w:tc>
      </w:tr>
    </w:tbl>
    <w:p>
      <w:pPr>
        <w:spacing w:after="80" w:before="180" w:line="300"/>
      </w:pPr>
      <w:r>
        <w:rPr>
          <w:rFonts w:ascii="游ゴシック" w:cs="游ゴシック" w:eastAsia="游ゴシック" w:hAnsi="游ゴシック"/>
          <w:b w:val="1"/>
          <w:bCs w:val="1"/>
          <w:i w:val="false"/>
          <w:iCs w:val="false"/>
          <w:sz w:val="22"/>
          <w:szCs w:val="22"/>
        </w:rPr>
        <w:t xml:space="preserve">　▌ 居宅サービスの見込量</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7"/>
        <w:gridCol w:w="90"/>
        <w:gridCol w:w="90"/>
        <w:gridCol w:w="99"/>
        <w:gridCol w:w="84"/>
        <w:gridCol w:w="84"/>
        <w:gridCol w:w="84"/>
        <w:gridCol w:w="78"/>
        <w:gridCol w:w="84"/>
      </w:tblGrid>
      <w:tr>
        <w:tc>
          <w:tcPr>
            <w:tcW w:type="dxa" w:w="20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サービス種類</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項目</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単位</w:t>
            </w:r>
          </w:p>
        </w:tc>
        <w:tc>
          <w:tcPr>
            <w:tcW w:type="dxa" w:w="99"/>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令和7年度</w:t>
              <w:br/>
              <w:t xml:space="preserve">実績</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令和9年度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令和10年度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令和11年度</w:t>
            </w:r>
          </w:p>
        </w:tc>
        <w:tc>
          <w:tcPr>
            <w:tcW w:type="dxa" w:w="7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令和17年度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令和22年度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訪問介護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27,780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28,302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28,288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28,403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31,040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34,132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705.3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719.2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717.5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720.3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786.0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866.7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33.2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33.7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33.7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33.9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37.4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40.4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訪問入浴介護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2,668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2,723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2,653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2,666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2,917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3,194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18.8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20.6</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4.6</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訪問看護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3,033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3,075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2,924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2,966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3,291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3,488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57.9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54.5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55.4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64.8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訪問リハビリテーション</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4,721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4,802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4,566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4,630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5,156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5,469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114.1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116.0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110.2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111.8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124.5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132.0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居宅療養管理指導</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1,217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1,235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1,230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1,236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1,353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1,474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通所介護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62,331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63,413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63,316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63,600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69,947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76,103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534.8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543.5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543.7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546.6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602.7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652.8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53.2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53.9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54.1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54.5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64.9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通所リハビリテーション</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98,356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100,180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98,541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99,320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110,324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118,440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760.0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773.1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761.5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768.2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854.4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914.3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88.2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87.0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87.9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97.9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104.3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短期入所生活介護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15,795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16,098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16,220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16,172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17,603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19,468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日</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138.5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141.2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142.0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141.7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154.5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170.5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15.2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15.4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15.5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15.5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18.6</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福祉用具貸与</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20,500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20,863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20,417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20,569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22,681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24,513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128.2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130.4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127.9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128.9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142.5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153.4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特定施設入居者生活介護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6,255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6,387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6,178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6,232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6,933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7,435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3.2</w:t>
            </w:r>
          </w:p>
        </w:tc>
      </w:tr>
    </w:tbl>
    <w:p>
      <w:pPr>
        <w:spacing w:after="80" w:before="180" w:line="300"/>
      </w:pPr>
      <w:r>
        <w:rPr>
          <w:rFonts w:ascii="游ゴシック" w:cs="游ゴシック" w:eastAsia="游ゴシック" w:hAnsi="游ゴシック"/>
          <w:b w:val="1"/>
          <w:bCs w:val="1"/>
          <w:i w:val="false"/>
          <w:iCs w:val="false"/>
          <w:sz w:val="22"/>
          <w:szCs w:val="22"/>
        </w:rPr>
        <w:t xml:space="preserve">　▌ 地域密着型サービスの見込量</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7"/>
        <w:gridCol w:w="90"/>
        <w:gridCol w:w="90"/>
        <w:gridCol w:w="99"/>
        <w:gridCol w:w="84"/>
        <w:gridCol w:w="84"/>
        <w:gridCol w:w="84"/>
        <w:gridCol w:w="78"/>
        <w:gridCol w:w="84"/>
      </w:tblGrid>
      <w:tr>
        <w:tc>
          <w:tcPr>
            <w:tcW w:type="dxa" w:w="20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サービス種類</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項目</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単位</w:t>
            </w:r>
          </w:p>
        </w:tc>
        <w:tc>
          <w:tcPr>
            <w:tcW w:type="dxa" w:w="99"/>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令和7年度</w:t>
              <w:br/>
              <w:t xml:space="preserve">実績</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令和9年度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令和10年度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令和11年度</w:t>
            </w:r>
          </w:p>
        </w:tc>
        <w:tc>
          <w:tcPr>
            <w:tcW w:type="dxa" w:w="7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令和17年度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令和22年度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定期巡回・随時対応型訪問介護看護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389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383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431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437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490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508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地域密着型通所介護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377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374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401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408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457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474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認知症対応型共同生活介護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80,059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81,115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80,775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81,659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90,923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96,805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24.5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24.8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24.8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25.0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27.9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29.7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地域密着型介護老人福祉施設入所者生活介護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96,212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98,308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98,656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98,336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106,357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118,970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26.6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29.4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32.9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看護小規模多機能型居宅介護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809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825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825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825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858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1,007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0.3</w:t>
            </w:r>
          </w:p>
        </w:tc>
      </w:tr>
    </w:tbl>
    <w:p>
      <w:pPr>
        <w:spacing w:after="80" w:before="180" w:line="300"/>
      </w:pPr>
      <w:r>
        <w:rPr>
          <w:rFonts w:ascii="游ゴシック" w:cs="游ゴシック" w:eastAsia="游ゴシック" w:hAnsi="游ゴシック"/>
          <w:b w:val="1"/>
          <w:bCs w:val="1"/>
          <w:i w:val="false"/>
          <w:iCs w:val="false"/>
          <w:sz w:val="22"/>
          <w:szCs w:val="22"/>
        </w:rPr>
        <w:t xml:space="preserve">　▌ 施設サービスの見込量</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16"/>
        <w:gridCol w:w="90"/>
        <w:gridCol w:w="72"/>
        <w:gridCol w:w="90"/>
        <w:gridCol w:w="90"/>
        <w:gridCol w:w="90"/>
        <w:gridCol w:w="90"/>
        <w:gridCol w:w="81"/>
        <w:gridCol w:w="81"/>
      </w:tblGrid>
      <w:tr>
        <w:tc>
          <w:tcPr>
            <w:tcW w:type="dxa" w:w="21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サービス種類</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項目</w:t>
            </w:r>
          </w:p>
        </w:tc>
        <w:tc>
          <w:tcPr>
            <w:tcW w:type="dxa" w:w="7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単位</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令和7年度</w:t>
              <w:br/>
              <w:t xml:space="preserve">実績</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令和9年度</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令和10年度</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令和11年度</w:t>
            </w:r>
          </w:p>
        </w:tc>
        <w:tc>
          <w:tcPr>
            <w:tcW w:type="dxa" w:w="8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令和17年度</w:t>
            </w:r>
          </w:p>
        </w:tc>
        <w:tc>
          <w:tcPr>
            <w:tcW w:type="dxa" w:w="8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令和22年度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介護老人福祉施設</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232,975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238,205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238,253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237,772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256,568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288,034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67.8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69.4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69.3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69.2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74.8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83.8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介護老人保健施設</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260,377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265,253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264,961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265,006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288,836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318,292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66.6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67.8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67.7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67.7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73.9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81.3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介護医療院</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0.0</w:t>
            </w:r>
          </w:p>
        </w:tc>
      </w:tr>
    </w:tbl>
    <w:p>
      <w:pPr>
        <w:spacing w:after="80" w:before="30" w:line="260"/>
        <w:jc w:val="right"/>
      </w:pPr>
      <w:r>
        <w:rPr>
          <w:rFonts w:ascii="游ゴシック" w:cs="游ゴシック" w:eastAsia="游ゴシック" w:hAnsi="游ゴシック"/>
          <w:i/>
          <w:iCs/>
          <w:sz w:val="17"/>
          <w:szCs w:val="17"/>
        </w:rPr>
        <w:t xml:space="preserve">出典：令和7年度実績：介護保険事業状況報告（年報・令和7年度）／令和9〜11年度・令和17年度・令和22年度：本計画の算定値</w:t>
      </w:r>
    </w:p>
    <w:p>
      <w:pPr>
        <w:spacing w:after="80" w:before="180" w:line="300"/>
      </w:pPr>
      <w:r>
        <w:rPr>
          <w:rFonts w:ascii="游ゴシック" w:cs="游ゴシック" w:eastAsia="游ゴシック" w:hAnsi="游ゴシック"/>
          <w:b w:val="1"/>
          <w:bCs w:val="1"/>
          <w:i w:val="false"/>
          <w:iCs w:val="false"/>
          <w:sz w:val="22"/>
          <w:szCs w:val="22"/>
        </w:rPr>
        <w:t xml:space="preserve">　▌ 見込量を0としたサービスの区分</w:t>
      </w:r>
    </w:p>
    <w:p>
      <w:pPr>
        <w:spacing w:after="80" w:before="50" w:line="320"/>
        <w:ind w:firstLine="200"/>
        <w:jc w:val="left"/>
      </w:pPr>
      <w:r>
        <w:rPr>
          <w:rFonts w:ascii="游ゴシック" w:cs="游ゴシック" w:eastAsia="游ゴシック" w:hAnsi="游ゴシック"/>
          <w:i w:val="false"/>
          <w:iCs w:val="false"/>
          <w:sz w:val="21"/>
          <w:szCs w:val="21"/>
        </w:rPr>
        <w:t xml:space="preserve">上表のうち見込量を0としたサービスについて、0である理由を区別して掲げます。「供給なし」は町内及び近隣に指定事業所がないもの、「利用なし」は事業所はあるが本町の被保険者の利用がないもの、「整備予定なし」は第10期中に整備する予定がないものです。供給がないことによる0は、利用勧奨では動かせません。</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30"/>
        <w:gridCol w:w="80"/>
        <w:gridCol w:w="120"/>
        <w:gridCol w:w="120"/>
        <w:gridCol w:w="50"/>
      </w:tblGrid>
      <w:tr>
        <w:tc>
          <w:tcPr>
            <w:tcW w:type="dxa" w:w="1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サービス種類</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実績（令和6年度→令和7年度）</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0の区分</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第10期の扱い</w:t>
            </w:r>
          </w:p>
        </w:tc>
        <w:tc>
          <w:tcPr>
            <w:tcW w:type="dxa"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確認事項</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夜間対応型訪問介護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実績あり → 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［要確認］供給なし又は利用なし</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見込量0。整備の予定を第2回策定委員会で確認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No.41・No.71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認知症対応型通所介護（介護予防を含む）</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実績あり → 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［要確認］供給なし又は利用なし</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見込量0。認知症施策としては継続の位置付けとし、供給がない場合は近隣市町村の事業所の利用を支援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No.29・No.71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小規模多機能型居宅介護（介護予防を含む）</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実績あり → 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［要確認］町内に事業所があるとの整理があり、実績との食い違いを確認中</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見込量0。第2章2-3の事業所一覧と突き合わせる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No.29・No.71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地域密着型特定施設入居者生活介護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実績あり → 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供給なし（町内の定員0人。必要利用定員総数の表に記載）</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見込量0。必要利用定員総数も0とする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No.29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介護医療院</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実績あり → 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［要確認］供給なし又は利用なし</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見込量0。介護療養型医療施設は令和6年3月末で廃止済み</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No.71</w:t>
            </w:r>
          </w:p>
        </w:tc>
      </w:tr>
    </w:tbl>
    <w:p>
      <w:pPr>
        <w:spacing w:after="80" w:before="50" w:line="320"/>
        <w:ind w:firstLine="200"/>
        <w:jc w:val="left"/>
      </w:pPr>
      <w:r>
        <w:rPr>
          <w:rFonts w:ascii="游ゴシック" w:cs="游ゴシック" w:eastAsia="游ゴシック" w:hAnsi="游ゴシック"/>
          <w:i w:val="false"/>
          <w:iCs w:val="false"/>
          <w:sz w:val="21"/>
          <w:szCs w:val="21"/>
        </w:rPr>
        <w:t xml:space="preserve">⚠ 見込量を0としたサービスの区分は、必要利用定員総数の前に掲げた表のとおりです。</w:t>
      </w:r>
    </w:p>
    <w:p>
      <w:pPr>
        <w:spacing w:after="80" w:before="180" w:line="300"/>
      </w:pPr>
      <w:r>
        <w:rPr>
          <w:rFonts w:ascii="游ゴシック" w:cs="游ゴシック" w:eastAsia="游ゴシック" w:hAnsi="游ゴシック"/>
          <w:b w:val="1"/>
          <w:bCs w:val="1"/>
          <w:i w:val="false"/>
          <w:iCs w:val="false"/>
          <w:sz w:val="22"/>
          <w:szCs w:val="22"/>
        </w:rPr>
        <w:t xml:space="preserve">　▌ 必要利用定員総数（日常生活圏域ごと）</w:t>
      </w:r>
    </w:p>
    <w:p>
      <w:pPr>
        <w:spacing w:after="80" w:before="180" w:line="300"/>
      </w:pPr>
      <w:r>
        <w:rPr>
          <w:rFonts w:ascii="游ゴシック" w:cs="游ゴシック" w:eastAsia="游ゴシック" w:hAnsi="游ゴシック"/>
          <w:b w:val="1"/>
          <w:bCs w:val="1"/>
          <w:i w:val="false"/>
          <w:iCs w:val="false"/>
          <w:sz w:val="22"/>
          <w:szCs w:val="22"/>
        </w:rPr>
        <w:t xml:space="preserve">介護保険法第117条第2項第1号は、日常生活圏域ごとの認知症対応型共同生活介護、地域密着型特定施設入居者生活介護及び地域密着型介護老人福祉施設入所者生活介護の必要利用定員総数を定めることを求めています。川崎町は町域全体を1つの日常生活圏域としているため、町全体の見込量がそのまま必要利用定員総数とな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9"/>
        <w:gridCol w:w="59"/>
        <w:gridCol w:w="77"/>
        <w:gridCol w:w="71"/>
        <w:gridCol w:w="71"/>
        <w:gridCol w:w="71"/>
        <w:gridCol w:w="162"/>
      </w:tblGrid>
      <w:tr>
        <w:tc>
          <w:tcPr>
            <w:tcW w:type="dxa" w:w="189"/>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サービス種類</w:t>
            </w:r>
          </w:p>
        </w:tc>
        <w:tc>
          <w:tcPr>
            <w:tcW w:type="dxa" w:w="59"/>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単位</w:t>
            </w:r>
          </w:p>
        </w:tc>
        <w:tc>
          <w:tcPr>
            <w:tcW w:type="dxa" w:w="7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令和7年度</w:t>
              <w:br/>
              <w:t xml:space="preserve">実績</w:t>
            </w:r>
          </w:p>
        </w:tc>
        <w:tc>
          <w:tcPr>
            <w:tcW w:type="dxa" w:w="7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令和9年度</w:t>
            </w:r>
          </w:p>
        </w:tc>
        <w:tc>
          <w:tcPr>
            <w:tcW w:type="dxa" w:w="7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令和10年度</w:t>
            </w:r>
          </w:p>
        </w:tc>
        <w:tc>
          <w:tcPr>
            <w:tcW w:type="dxa" w:w="7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令和11年度</w:t>
            </w:r>
          </w:p>
        </w:tc>
        <w:tc>
          <w:tcPr>
            <w:tcW w:type="dxa" w:w="16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町内の定員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認知症対応型共同生活介護</w:t>
              <w:br/>
              <w:t xml:space="preserve">（介護予防を含む）</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25.9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26.3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26.2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26.5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［要確認］</w:t>
              <w:br/>
              <w:t xml:space="preserve">第9期計画値は月27.0人</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地域密着型特定施設入居者生活介護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0人（事業所なし）</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地域密着型介護老人福祉施設入所者生活介護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26.6</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27.2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27.2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27.2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［要確認］</w:t>
            </w:r>
          </w:p>
        </w:tc>
      </w:tr>
    </w:tbl>
    <w:p>
      <w:pPr>
        <w:spacing w:after="80" w:before="180" w:line="300"/>
      </w:pPr>
      <w:r>
        <w:rPr>
          <w:rFonts w:ascii="游ゴシック" w:cs="游ゴシック" w:eastAsia="游ゴシック" w:hAnsi="游ゴシック"/>
          <w:b w:val="1"/>
          <w:bCs w:val="1"/>
          <w:i w:val="false"/>
          <w:iCs w:val="false"/>
          <w:sz w:val="22"/>
          <w:szCs w:val="22"/>
        </w:rPr>
        <w:t xml:space="preserve">⚠ 見込量は、川崎町の被保険者が利用する量であり、町内の事業所の定員とは一致しません。町外の事業所を利用する町民が含まれるためです（住所地特例24人・令和8年3月末）。認知症対応型共同生活介護の第9期計画値は年324人（月27.0人）で、令和7年度の実績は月25.9人（対計画比96.0％）です。中長期では、令和17年度29.5人／月・令和22年度31.3人／月と見込まれ、27人を上回ります。町内の事業所の定員は確認事項No.29としてご確認をお願いしています。</w:t>
      </w:r>
    </w:p>
    <w:p>
      <w:pPr>
        <w:spacing w:after="80" w:before="80" w:line="280"/>
        <w:ind w:left="288"/>
      </w:pPr>
      <w:r>
        <w:rPr>
          <w:rFonts w:ascii="游ゴシック" w:cs="游ゴシック" w:eastAsia="游ゴシック" w:hAnsi="游ゴシック"/>
          <w:i/>
          <w:iCs/>
          <w:sz w:val="19"/>
          <w:szCs w:val="19"/>
        </w:rPr>
        <w:t xml:space="preserve">⚠ 令和6年度に実績があり令和7年度に実績がなかったサービス（夜間対応型訪問介護、認知症対応型通所介護、小規模多機能型居宅介護、地域密着型特定施設入居者生活介護、介護医療院）は、見込量を0としています。第10期中の整備予定を踏まえ、第2回策定委員会で確認します。</w:t>
      </w:r>
    </w:p>
    <w:p>
      <w:pPr>
        <w:spacing w:after="80" w:before="180" w:line="300"/>
      </w:pPr>
      <w:r>
        <w:rPr>
          <w:rFonts w:ascii="游ゴシック" w:cs="游ゴシック" w:eastAsia="游ゴシック" w:hAnsi="游ゴシック"/>
          <w:b w:val="1"/>
          <w:bCs w:val="1"/>
          <w:i w:val="false"/>
          <w:iCs w:val="false"/>
          <w:sz w:val="22"/>
          <w:szCs w:val="22"/>
        </w:rPr>
        <w:t xml:space="preserve">　▌ 施設サービスの町外利用・住所地特例の反映</w:t>
      </w:r>
    </w:p>
    <w:p>
      <w:pPr>
        <w:spacing w:after="80" w:before="50" w:line="320"/>
        <w:ind w:firstLine="200"/>
        <w:jc w:val="left"/>
      </w:pPr>
      <w:r>
        <w:rPr>
          <w:rFonts w:ascii="游ゴシック" w:cs="游ゴシック" w:eastAsia="游ゴシック" w:hAnsi="游ゴシック"/>
          <w:i w:val="false"/>
          <w:iCs w:val="false"/>
          <w:sz w:val="21"/>
          <w:szCs w:val="21"/>
        </w:rPr>
        <w:t xml:space="preserve">キックオフ会議で確認されたとおり、川崎町は町内施設が縮小傾向にあり、町外施設の利用（住所地特例24人・令和7年6月時点）が相当数あります。施設サービス見込量の算定では、以下の方針で町外利用を組み込みます。</w:t>
      </w:r>
    </w:p>
    <w:p>
      <w:pPr>
        <w:spacing w:after="40" w:before="40" w:line="300"/>
        <w:ind w:left="431"/>
      </w:pPr>
      <w:r>
        <w:rPr>
          <w:rFonts w:ascii="游ゴシック" w:cs="游ゴシック" w:eastAsia="游ゴシック" w:hAnsi="游ゴシック"/>
          <w:i w:val="false"/>
          <w:iCs w:val="false"/>
          <w:sz w:val="21"/>
          <w:szCs w:val="21"/>
        </w:rPr>
        <w:t xml:space="preserve">①　</w:t>
      </w:r>
      <w:r>
        <w:rPr>
          <w:rFonts w:ascii="游ゴシック" w:cs="游ゴシック" w:eastAsia="游ゴシック" w:hAnsi="游ゴシック"/>
          <w:i w:val="false"/>
          <w:iCs w:val="false"/>
          <w:sz w:val="21"/>
          <w:szCs w:val="21"/>
        </w:rPr>
        <w:t xml:space="preserve">町内施設の供給定員のみで見込量を制約しない。町外施設利用を含めた「町民の施設サービス利用ニーズ」全体を見込量とする</w:t>
      </w:r>
    </w:p>
    <w:p>
      <w:pPr>
        <w:spacing w:after="40" w:before="40" w:line="300"/>
        <w:ind w:left="431"/>
      </w:pPr>
      <w:r>
        <w:rPr>
          <w:rFonts w:ascii="游ゴシック" w:cs="游ゴシック" w:eastAsia="游ゴシック" w:hAnsi="游ゴシック"/>
          <w:i w:val="false"/>
          <w:iCs w:val="false"/>
          <w:sz w:val="21"/>
          <w:szCs w:val="21"/>
        </w:rPr>
        <w:t xml:space="preserve">②　</w:t>
      </w:r>
      <w:r>
        <w:rPr>
          <w:rFonts w:ascii="游ゴシック" w:cs="游ゴシック" w:eastAsia="游ゴシック" w:hAnsi="游ゴシック"/>
          <w:i w:val="false"/>
          <w:iCs w:val="false"/>
          <w:sz w:val="21"/>
          <w:szCs w:val="21"/>
        </w:rPr>
        <w:t xml:space="preserve">住所地特例該当者の所在自治体内訳（柴田町・大河原町・仙台市等）を把握し、広域連携の検討材料とする</w:t>
      </w:r>
    </w:p>
    <w:p>
      <w:pPr>
        <w:spacing w:after="40" w:before="40" w:line="300"/>
        <w:ind w:left="431"/>
      </w:pPr>
      <w:r>
        <w:rPr>
          <w:rFonts w:ascii="游ゴシック" w:cs="游ゴシック" w:eastAsia="游ゴシック" w:hAnsi="游ゴシック"/>
          <w:i w:val="false"/>
          <w:iCs w:val="false"/>
          <w:sz w:val="21"/>
          <w:szCs w:val="21"/>
        </w:rPr>
        <w:t xml:space="preserve">③　</w:t>
      </w:r>
      <w:r>
        <w:rPr>
          <w:rFonts w:ascii="游ゴシック" w:cs="游ゴシック" w:eastAsia="游ゴシック" w:hAnsi="游ゴシック"/>
          <w:i w:val="false"/>
          <w:iCs w:val="false"/>
          <w:sz w:val="21"/>
          <w:szCs w:val="21"/>
        </w:rPr>
        <w:t xml:space="preserve">町外施設の建設計画・受入余地等の情報収集を行い、川崎町民の施設利用継続を担保する</w:t>
      </w:r>
    </w:p>
    <w:p>
      <w:pPr>
        <w:spacing w:after="80" w:before="180" w:line="300"/>
      </w:pPr>
      <w:r>
        <w:rPr>
          <w:rFonts w:ascii="游ゴシック" w:cs="游ゴシック" w:eastAsia="游ゴシック" w:hAnsi="游ゴシック"/>
          <w:b w:val="1"/>
          <w:bCs w:val="1"/>
          <w:i w:val="false"/>
          <w:iCs w:val="false"/>
          <w:sz w:val="22"/>
          <w:szCs w:val="22"/>
        </w:rPr>
        <w:t xml:space="preserve">　▌ 地域支援事業の量の見込み</w:t>
      </w:r>
    </w:p>
    <w:p>
      <w:pPr>
        <w:spacing w:after="80" w:before="50" w:line="320"/>
        <w:ind w:firstLine="200"/>
        <w:jc w:val="left"/>
      </w:pPr>
      <w:r>
        <w:rPr>
          <w:rFonts w:ascii="游ゴシック" w:cs="游ゴシック" w:eastAsia="游ゴシック" w:hAnsi="游ゴシック"/>
          <w:i w:val="false"/>
          <w:iCs w:val="false"/>
          <w:sz w:val="21"/>
          <w:szCs w:val="21"/>
        </w:rPr>
        <w:t xml:space="preserve">地域支援事業（介護予防・日常生活支援総合事業、包括的支援事業、任意事業）の量の見込みは次のとおりです。介護予防・日常生活支援総合事業については、令和7年度の実績（訪問介護相当サービス45人／月、通所介護相当サービス54人／月）に要支援認定者数の伸びを乗じて求めています。包括的支援事業及び任意事業は、事業ごとの実績データが未受領のため、量の見込みを掲げていません［要確認］。</w:t>
      </w:r>
    </w:p>
    <w:p>
      <w:pPr>
        <w:spacing w:after="80" w:before="180" w:line="300"/>
      </w:pPr>
      <w:r>
        <w:rPr>
          <w:rFonts w:ascii="游ゴシック" w:cs="游ゴシック" w:eastAsia="游ゴシック" w:hAnsi="游ゴシック"/>
          <w:b w:val="1"/>
          <w:bCs w:val="1"/>
          <w:i w:val="false"/>
          <w:iCs w:val="false"/>
          <w:sz w:val="22"/>
          <w:szCs w:val="22"/>
        </w:rPr>
        <w:t xml:space="preserve">　▌ 介護予防・日常生活支援総合事業の量の見込み</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8"/>
        <w:gridCol w:w="61"/>
        <w:gridCol w:w="95"/>
        <w:gridCol w:w="84"/>
        <w:gridCol w:w="84"/>
        <w:gridCol w:w="84"/>
        <w:gridCol w:w="124"/>
      </w:tblGrid>
      <w:tr>
        <w:tc>
          <w:tcPr>
            <w:tcW w:type="dxa" w:w="16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w:t>
            </w:r>
          </w:p>
        </w:tc>
        <w:tc>
          <w:tcPr>
            <w:tcW w:type="dxa" w:w="6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単位</w:t>
            </w:r>
          </w:p>
        </w:tc>
        <w:tc>
          <w:tcPr>
            <w:tcW w:type="dxa" w:w="95"/>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令和7年度実績</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令和9年度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令和10年度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令和11年度</w:t>
            </w:r>
          </w:p>
        </w:tc>
        <w:tc>
          <w:tcPr>
            <w:tcW w:type="dxa" w:w="1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延ばし方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訪問介護相当サービス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45.0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48.1</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49.2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要支援認定者数の伸び</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通所介護相当サービス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54.0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59.9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57.7</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59.0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要支援認定者数の伸び</w:t>
            </w:r>
          </w:p>
        </w:tc>
      </w:tr>
    </w:tbl>
    <w:p>
      <w:pPr>
        <w:spacing w:after="80" w:before="180" w:line="300"/>
      </w:pPr>
      <w:r>
        <w:rPr>
          <w:rFonts w:ascii="游ゴシック" w:cs="游ゴシック" w:eastAsia="游ゴシック" w:hAnsi="游ゴシック"/>
          <w:b w:val="1"/>
          <w:bCs w:val="1"/>
          <w:i w:val="false"/>
          <w:iCs w:val="false"/>
          <w:sz w:val="22"/>
          <w:szCs w:val="22"/>
        </w:rPr>
        <w:t xml:space="preserve">　▌ 認知症施策に係る地域支援事業の量の見込み</w:t>
      </w:r>
    </w:p>
    <w:p>
      <w:pPr>
        <w:spacing w:after="80" w:before="50" w:line="320"/>
        <w:ind w:firstLine="200"/>
        <w:jc w:val="left"/>
      </w:pPr>
      <w:r>
        <w:rPr>
          <w:rFonts w:ascii="游ゴシック" w:cs="游ゴシック" w:eastAsia="游ゴシック" w:hAnsi="游ゴシック"/>
          <w:i w:val="false"/>
          <w:iCs w:val="false"/>
          <w:sz w:val="21"/>
          <w:szCs w:val="21"/>
        </w:rPr>
        <w:t xml:space="preserve">認知症総合支援事業（包括的支援事業）の量の見込みは次のとおりです。令和7年度の実績に、認定者数又は第1号被保険者数の伸びを乗じています。事業の性質上、回数が事業計画により定まるもの（もの忘れ相談・チーム員会議・認知症カフェ）は据え置いています。認知症初期集中支援チームの訪問件数は、令和5年度の80件から令和7年度見込12件へ減少しており、下表はこの水準を延ばしたものです。活動量の回復を図る場合は、目標値を別に定めます［要協議］。</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
        <w:gridCol w:w="64"/>
        <w:gridCol w:w="77"/>
        <w:gridCol w:w="77"/>
        <w:gridCol w:w="77"/>
        <w:gridCol w:w="77"/>
        <w:gridCol w:w="108"/>
      </w:tblGrid>
      <w:tr>
        <w:tc>
          <w:tcPr>
            <w:tcW w:type="dxa" w:w="2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事業・項目</w:t>
            </w:r>
          </w:p>
        </w:tc>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単位</w:t>
            </w:r>
          </w:p>
        </w:tc>
        <w:tc>
          <w:tcPr>
            <w:tcW w:type="dxa" w:w="7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令和7年度</w:t>
              <w:br/>
              <w:t xml:space="preserve">実績</w:t>
            </w:r>
          </w:p>
        </w:tc>
        <w:tc>
          <w:tcPr>
            <w:tcW w:type="dxa" w:w="7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令和9年度</w:t>
            </w:r>
          </w:p>
        </w:tc>
        <w:tc>
          <w:tcPr>
            <w:tcW w:type="dxa" w:w="7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令和10年度</w:t>
            </w:r>
          </w:p>
        </w:tc>
        <w:tc>
          <w:tcPr>
            <w:tcW w:type="dxa" w:w="7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令和11年度</w:t>
            </w:r>
          </w:p>
        </w:tc>
        <w:tc>
          <w:tcPr>
            <w:tcW w:type="dxa" w:w="10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延ばし方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もの忘れ相談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回／年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据え置き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もの忘れ相談　延相談件数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件／年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認定者数の伸び</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認知症初期集中支援　チーム員会議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回／年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据え置き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認知症初期集中支援　対象者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人／年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8.0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8.2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8.1</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8.2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認定者数の伸び</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認知症初期集中支援　訪問件数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件／年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認定者数の伸び</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認知症カフェ「喫茶みかん」　実施回数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回／年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47.0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47.0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47.0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47.0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据え置き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認知症カフェ「喫茶みかん」　延利用者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人／年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235.0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234.3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232.3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230.4</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第1号被保険者数の伸び</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認知症サポーター養成講座　受講者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人／年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据え置き</w:t>
            </w:r>
          </w:p>
        </w:tc>
      </w:tr>
    </w:tbl>
    <w:p>
      <w:pPr>
        <w:spacing w:after="80" w:before="50" w:line="320"/>
        <w:ind w:firstLine="200"/>
        <w:jc w:val="left"/>
      </w:pPr>
      <w:r>
        <w:rPr>
          <w:rFonts w:ascii="游ゴシック" w:cs="游ゴシック" w:eastAsia="游ゴシック" w:hAnsi="游ゴシック"/>
          <w:i w:val="false"/>
          <w:iCs w:val="false"/>
          <w:sz w:val="21"/>
          <w:szCs w:val="21"/>
        </w:rPr>
        <w:t xml:space="preserve">⚠ 出典は町提供実績データ（令和8年9月1日受領）08シートです。認知症サポーター養成講座の受講者数は、保険者努力支援交付金の集計（令和7年3月31日時点577人）と町提供データの累計（令和7年度見込642人）とで食い違いがあり、確認中です［要確認］。包括的支援事業・任意事業の事業別の費用は未受領のため、量と費用の対応は事業別実績の受領後に整理します。</w:t>
      </w:r>
    </w:p>
    <w:p>
      <w:pPr>
        <w:spacing w:after="80" w:before="180" w:line="300"/>
      </w:pPr>
      <w:r>
        <w:rPr>
          <w:rFonts w:ascii="游ゴシック" w:cs="游ゴシック" w:eastAsia="游ゴシック" w:hAnsi="游ゴシック"/>
          <w:b w:val="1"/>
          <w:bCs w:val="1"/>
          <w:i w:val="false"/>
          <w:iCs w:val="false"/>
          <w:sz w:val="22"/>
          <w:szCs w:val="22"/>
        </w:rPr>
        <w:t xml:space="preserve">　▌ 地域支援事業費の見込み</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事業区分</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令和7年度実績</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令和9年度</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令和10年度</w:t>
            </w:r>
          </w:p>
        </w:tc>
        <w:tc>
          <w:tcPr>
            <w:tcW w:type="pct" w:w="1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令和11年度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介護予防・日常生活支援総合事業費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7,898千円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6,786千円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6,506千円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6,226千円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包括的支援事業（地域包括支援センターの運営）</w:t>
              <w:br/>
              <w:t xml:space="preserve">及び任意事業費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28,327千円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38,647千円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42,317千円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45,988千円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包括的支援事業（社会保障充実分）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385千円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600千円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773千円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946千円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合計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36,609千円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46,033千円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49,596千円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53,159千円</w:t>
            </w:r>
          </w:p>
        </w:tc>
      </w:tr>
    </w:tbl>
    <w:p>
      <w:pPr>
        <w:spacing w:after="80" w:before="30" w:line="260"/>
        <w:jc w:val="right"/>
      </w:pPr>
      <w:r>
        <w:rPr>
          <w:rFonts w:ascii="游ゴシック" w:cs="游ゴシック" w:eastAsia="游ゴシック" w:hAnsi="游ゴシック"/>
          <w:i/>
          <w:iCs/>
          <w:sz w:val="17"/>
          <w:szCs w:val="17"/>
        </w:rPr>
        <w:t xml:space="preserve">介護予防・日常生活支援総合事業の量は、地域包括ケア「見える化」システムに入力されている値（訪問介護相当 令和9年度44人・令和10年度46人・令和11年度47人、通所介護相当 同54人・51人・48人）とは異なります。本計画は要支援認定者数の伸びにより一貫して延ばしているのに対し、システムの入力値は通所介護相当が減少する置き方になっているためです。事業ごとの実績データのご提供を受けたうえで、第2回策定委員会で確認します。</w:t>
      </w:r>
    </w:p>
    <w:p>
      <w:pPr>
        <w:spacing w:after="100" w:before="200" w:line="320"/>
      </w:pPr>
      <w:r>
        <w:rPr>
          <w:rFonts w:ascii="游ゴシック" w:cs="游ゴシック" w:eastAsia="游ゴシック" w:hAnsi="游ゴシック"/>
          <w:b w:val="1"/>
          <w:bCs w:val="1"/>
          <w:i w:val="false"/>
          <w:iCs w:val="false"/>
          <w:sz w:val="25"/>
          <w:szCs w:val="25"/>
        </w:rPr>
        <w:t xml:space="preserve">9-2　介護給付費の見込み</w:t>
      </w:r>
    </w:p>
    <w:p>
      <w:pPr>
        <w:spacing w:after="80" w:before="180" w:line="300"/>
      </w:pPr>
      <w:r>
        <w:rPr>
          <w:rFonts w:ascii="游ゴシック" w:cs="游ゴシック" w:eastAsia="游ゴシック" w:hAnsi="游ゴシック"/>
          <w:b w:val="1"/>
          <w:bCs w:val="1"/>
          <w:i w:val="false"/>
          <w:iCs w:val="false"/>
          <w:sz w:val="22"/>
          <w:szCs w:val="22"/>
        </w:rPr>
        <w:t xml:space="preserve">　▌ 給付費算定の構造</w:t>
      </w:r>
    </w:p>
    <w:p>
      <w:pPr>
        <w:spacing w:after="80" w:before="50" w:line="320"/>
        <w:ind w:firstLine="200"/>
        <w:jc w:val="left"/>
      </w:pPr>
      <w:r>
        <w:rPr>
          <w:rFonts w:ascii="游ゴシック" w:cs="游ゴシック" w:eastAsia="游ゴシック" w:hAnsi="游ゴシック"/>
          <w:i w:val="false"/>
          <w:iCs w:val="false"/>
          <w:sz w:val="21"/>
          <w:szCs w:val="21"/>
        </w:rPr>
        <w:t xml:space="preserve">介護給付費の見込みは、サービス見込量に1人1月あたりの給付費を乗じて算定します。標準給付費見込額は、保険料算定の出発点となる数値で、総給付費に高額介護サービス費等・高額医療合算介護サービス費等・特定入所者介護サービス費等・審査支払手数料を加えたもの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項目</w:t>
            </w:r>
          </w:p>
        </w:tc>
        <w:tc>
          <w:tcPr>
            <w:tcW w:type="pct"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内容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標準給付費見込額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サービス見込量 × 1人1月あたり給付費 で算定した総給付費に、下記を加えた額。3年間の累計値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高額介護サービス費等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自己負担月額の上限超過分の払戻し（令和7年度実績 30,468千円）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高額医療合算介護サービス費等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医療＋介護の合算自己負担上限超過分（令和7年度実績 2,513千円）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特定入所者介護サービス費等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低所得施設入所者の食費・居住費の補足給付（令和7年度実績 52,967千円）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審査支払手数料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国民健康保険団体連合会への審査支払手数料（1件60円・令和7年度実績10,929件）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地域支援事業費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総合事業・包括的支援事業・任意事業（令和7年度実績 36,609千円）</w:t>
            </w:r>
          </w:p>
        </w:tc>
      </w:tr>
    </w:tbl>
    <w:p>
      <w:pPr>
        <w:spacing w:after="80" w:before="180" w:line="300"/>
      </w:pPr>
      <w:r>
        <w:rPr>
          <w:rFonts w:ascii="游ゴシック" w:cs="游ゴシック" w:eastAsia="游ゴシック" w:hAnsi="游ゴシック"/>
          <w:b w:val="1"/>
          <w:bCs w:val="1"/>
          <w:i w:val="false"/>
          <w:iCs w:val="false"/>
          <w:sz w:val="22"/>
          <w:szCs w:val="22"/>
        </w:rPr>
        <w:t xml:space="preserve">　▌ 第10期 給付費の見込み</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8"/>
        <w:gridCol w:w="90"/>
        <w:gridCol w:w="90"/>
        <w:gridCol w:w="90"/>
        <w:gridCol w:w="90"/>
        <w:gridCol w:w="84"/>
        <w:gridCol w:w="88"/>
      </w:tblGrid>
      <w:tr>
        <w:tc>
          <w:tcPr>
            <w:tcW w:type="dxa" w:w="16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区分</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令和7年度</w:t>
              <w:br/>
              <w:t xml:space="preserve">実績</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令和9年度</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令和10年度</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令和11年度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令和17年度</w:t>
            </w:r>
          </w:p>
        </w:tc>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令和22年度</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総給付費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998,222千円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1,018,396千円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1,013,767千円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1,016,634千円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1,110,612千円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1,218,805千円</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特定入所者介護サービス費等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52,967千円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54,127千円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54,185千円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54,083千円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高額介護サービス費等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30,468千円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31,084千円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30,942千円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31,030千円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高額医療合算介護サービス費等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2,513千円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2,564千円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2,552千円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2,559千円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審査支払手数料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656千円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669千円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666千円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668千円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標準給付費見込額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1,084,587千円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1,106,839千円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1,102,112千円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1,104,974千円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地域支援事業費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36,609千円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46,033千円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49,596千円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53,159千円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第10期 3か年計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標準給付費見込額</w:t>
              <w:br/>
              <w:t xml:space="preserve">3,313,925千円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地域支援事業費
148,788千円</w:t>
              <w:b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合計
3,462,713千円</w:t>
              <w:b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r>
    </w:tbl>
    <w:p>
      <w:pPr>
        <w:spacing w:after="80" w:before="30" w:line="260"/>
        <w:jc w:val="right"/>
      </w:pPr>
      <w:r>
        <w:rPr>
          <w:rFonts w:ascii="游ゴシック" w:cs="游ゴシック" w:eastAsia="游ゴシック" w:hAnsi="游ゴシック"/>
          <w:i/>
          <w:iCs/>
          <w:sz w:val="17"/>
          <w:szCs w:val="17"/>
        </w:rPr>
        <w:t xml:space="preserve">出典：令和7年度実績：介護保険事業状況報告（年報・令和7年度）／令和9〜11年度：本計画の算定値</w:t>
      </w:r>
    </w:p>
    <w:p>
      <w:pPr>
        <w:spacing w:after="80" w:before="50" w:line="320"/>
        <w:ind w:firstLine="200"/>
        <w:jc w:val="left"/>
      </w:pPr>
      <w:r>
        <w:rPr>
          <w:rFonts w:ascii="游ゴシック" w:cs="游ゴシック" w:eastAsia="游ゴシック" w:hAnsi="游ゴシック"/>
          <w:i w:val="false"/>
          <w:iCs w:val="false"/>
          <w:sz w:val="21"/>
          <w:szCs w:val="21"/>
        </w:rPr>
        <w:t xml:space="preserve">上表の令和9〜11年度は、令和7年度（完結年度）の実績に要介護度別の認定者数の伸びを乗じて算定したものです。第10期3か年の標準給付費見込額は3,313,925千円で、第9期計画の3,294,553千円を0.6％上回る水準にとどまります。地域支援事業費は148,788千円（第9期計画91,560千円）で、両者を合わせた3か年計は3,462,713千円となります。令和9年度の介護報酬改定の内容が示された段階で、その影響を反映します。</w:t>
      </w:r>
    </w:p>
    <w:p>
      <w:pPr>
        <w:spacing w:after="80" w:before="50" w:line="320"/>
        <w:ind w:firstLine="200"/>
        <w:jc w:val="left"/>
      </w:pPr>
      <w:r>
        <w:rPr>
          <w:rFonts w:ascii="游ゴシック" w:cs="游ゴシック" w:eastAsia="游ゴシック" w:hAnsi="游ゴシック"/>
          <w:i w:val="false"/>
          <w:iCs w:val="false"/>
          <w:sz w:val="21"/>
          <w:szCs w:val="21"/>
        </w:rPr>
        <w:t xml:space="preserve">第10期では、後期高齢者の増加と認知症基本法対応に伴う認知症施策の拡充により、給付費の上方圧力が見込まれます。一方で、保険給付費は令和6年度1,093,253千円から令和7年度1,084,587千円へ0.8％減少しており、これが介護予防の成果によるものか、介護人材の不足によるサービス提供体制の制約によるものかの判別が第10期の前提となります。第1回策定委員会では、職員の退職により1ユニット分の人員を削減した事例、訪問介護の登録者21名に対する実働4名といった供給側の制約が報告されています。本計画の見込量は現在の提供体制を前提とした水準であり、提供体制が回復すればこれを上回る可能性があります。第7章のサービス提供体制・介護人材確保の取組と一体で進める必要があります。</w:t>
      </w:r>
    </w:p>
    <w:p>
      <w:pPr>
        <w:spacing w:after="100" w:before="200" w:line="320"/>
      </w:pPr>
      <w:r>
        <w:rPr>
          <w:rFonts w:ascii="游ゴシック" w:cs="游ゴシック" w:eastAsia="游ゴシック" w:hAnsi="游ゴシック"/>
          <w:b w:val="1"/>
          <w:bCs w:val="1"/>
          <w:i w:val="false"/>
          <w:iCs w:val="false"/>
          <w:sz w:val="25"/>
          <w:szCs w:val="25"/>
        </w:rPr>
        <w:t xml:space="preserve">9-3　介護保険料の算定（8ステップ・3パターン）</w:t>
      </w:r>
    </w:p>
    <w:p>
      <w:pPr>
        <w:spacing w:after="80" w:before="180" w:line="300"/>
      </w:pPr>
      <w:r>
        <w:rPr>
          <w:rFonts w:ascii="游ゴシック" w:cs="游ゴシック" w:eastAsia="游ゴシック" w:hAnsi="游ゴシック"/>
          <w:b w:val="1"/>
          <w:bCs w:val="1"/>
          <w:i w:val="false"/>
          <w:iCs w:val="false"/>
          <w:sz w:val="22"/>
          <w:szCs w:val="22"/>
        </w:rPr>
        <w:t xml:space="preserve">　▌ 保険料推移の確認</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期</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計画期間</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月額基準額</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対前期</w:t>
            </w:r>
          </w:p>
        </w:tc>
        <w:tc>
          <w:tcPr>
            <w:tcW w:type="pct" w:w="1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出典</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第8期</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R3〜R5年度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6,380円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年報2021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第9期</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R6〜R8年度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6,500円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+120円 (+1.9%)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第9期計画書</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第10期</w:t>
              <w:br/>
              <w:t xml:space="preserve">（本計画）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R9〜R11年度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A 6,822円／B 6,143円／C 5,464円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A +322円／B ▲357円／C ▲1,036円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本計画の算定値</w:t>
            </w:r>
          </w:p>
        </w:tc>
      </w:tr>
    </w:tbl>
    <w:p>
      <w:pPr>
        <w:spacing w:after="80" w:before="50" w:line="320"/>
        <w:ind w:firstLine="200"/>
        <w:jc w:val="left"/>
      </w:pPr>
      <w:r>
        <w:rPr>
          <w:rFonts w:ascii="游ゴシック" w:cs="游ゴシック" w:eastAsia="游ゴシック" w:hAnsi="游ゴシック"/>
          <w:i w:val="false"/>
          <w:iCs w:val="false"/>
          <w:sz w:val="18"/>
          <w:szCs w:val="18"/>
        </w:rPr>
        <w:t xml:space="preserve">※ 第9期計画書の保険料算出表における基準額は月額6,508円であり、第5段階（基準）の保険料月額（年額78,000円÷12か月＝6,500円）とは端数処理の関係で一致しません。本計画では第9期計画書の記載に基づき、比較の基準を月額6,500円としています。なお、第9期は準備基金78,000千円（月額698.59円相当）を取り崩した後の額であり、取崩し前の水準は月額7,206.92円です。取崩しを行わない場合の第10期6,822円は、これを385円下回ります。</w:t>
      </w:r>
    </w:p>
    <w:p>
      <w:pPr>
        <w:spacing w:after="60" w:before="120"/>
        <w:jc w:val="center"/>
      </w:pPr>
      <w:r>
        <w:rPr>
          <w:sz w:val="21"/>
          <w:szCs w:val="21"/>
        </w:rPr>
        <w:drawing>
          <wp:inline distT="0" distB="0" distL="0" distR="0">
            <wp:extent cx="5143500" cy="313486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43500" cy="3134864"/>
                    </a:xfrm>
                    <a:prstGeom prst="rect">
                      <a:avLst/>
                    </a:prstGeom>
                  </pic:spPr>
                </pic:pic>
              </a:graphicData>
            </a:graphic>
          </wp:inline>
        </w:drawing>
      </w:r>
    </w:p>
    <w:p>
      <w:pPr>
        <w:spacing w:after="200" w:before="0" w:line="280"/>
        <w:jc w:val="center"/>
      </w:pPr>
      <w:r>
        <w:rPr>
          <w:rFonts w:ascii="游ゴシック" w:cs="游ゴシック" w:eastAsia="游ゴシック" w:hAnsi="游ゴシック"/>
          <w:b w:val="1"/>
          <w:bCs w:val="1"/>
          <w:i w:val="false"/>
          <w:iCs w:val="false"/>
          <w:sz w:val="18"/>
          <w:szCs w:val="18"/>
        </w:rPr>
        <w:t xml:space="preserve">図9-1　介護保険料月額基準額の推移と第10期の3パターン（令和8年9月時点の算定・確定値は第3回策定委員会で決定）</w:t>
      </w:r>
    </w:p>
    <w:p>
      <w:pPr>
        <w:spacing w:after="80" w:before="50" w:line="320"/>
        <w:ind w:firstLine="200"/>
        <w:jc w:val="left"/>
      </w:pPr>
      <w:r>
        <w:rPr>
          <w:rFonts w:ascii="游ゴシック" w:cs="游ゴシック" w:eastAsia="游ゴシック" w:hAnsi="游ゴシック"/>
          <w:i w:val="false"/>
          <w:iCs w:val="false"/>
          <w:sz w:val="21"/>
          <w:szCs w:val="21"/>
        </w:rPr>
        <w:t xml:space="preserve">第8期の保険料基準額（月額）6,380円から第9期6,500円への上昇は+1.9％（120円増）にとどまり、上昇率では宮城県（+2.7％）・全国（+3.5％）を下回る抑制的な伸びでした。ただし水準そのものは、宮城県内35市町村中で第10〜12位（村田町・丸森町と同額）であり、県加重平均6,098円を402円上回ります。上昇率が抑制的であったことと、水準が県内上位であることは別の事実であり、両者を区別して評価する必要があります。</w:t>
      </w:r>
    </w:p>
    <w:p>
      <w:pPr>
        <w:spacing w:after="80" w:before="50" w:line="320"/>
        <w:ind w:firstLine="200"/>
        <w:jc w:val="left"/>
      </w:pPr>
      <w:r>
        <w:rPr>
          <w:rFonts w:ascii="游ゴシック" w:cs="游ゴシック" w:eastAsia="游ゴシック" w:hAnsi="游ゴシック"/>
          <w:i w:val="false"/>
          <w:iCs w:val="false"/>
          <w:sz w:val="21"/>
          <w:szCs w:val="21"/>
        </w:rPr>
        <w:t xml:space="preserve">第10期では、後期高齢者の増加に伴う認定者・給付費増、認知症基本法対応に伴う認知症施策の拡充、地域支援事業の充実等により、給付費の上方圧力が見込まれます。一方で、基準年度を令和8年度から完結年度である令和7年度に改め、利用率・利用回（日）数・単価を据え置いたことにより、第9期計画にみられた計画値と実績値の乖離（5〜6％の上振れ）は解消しています。介護給付費準備基金の取崩し、収納率の維持（総合収納率は令和2〜7年度で96.3〜96.7％）等により、保険料水準のさらなる抑制が可能です。なお、所得段階の13段階化は令和6年度に実施済みであり、第10期の抑制要因にはあたりません。最終的な保険料基準額は、第3回策定委員会（令和9年1月）での協議を経て決定します。</w:t>
      </w:r>
    </w:p>
    <w:p>
      <w:pPr>
        <w:spacing w:after="80" w:before="180" w:line="300"/>
      </w:pPr>
      <w:r>
        <w:rPr>
          <w:rFonts w:ascii="游ゴシック" w:cs="游ゴシック" w:eastAsia="游ゴシック" w:hAnsi="游ゴシック"/>
          <w:b w:val="1"/>
          <w:bCs w:val="1"/>
          <w:i w:val="false"/>
          <w:iCs w:val="false"/>
          <w:sz w:val="22"/>
          <w:szCs w:val="22"/>
        </w:rPr>
        <w:t xml:space="preserve">　▌ 保険料算定の8ステップ</w:t>
      </w:r>
    </w:p>
    <w:p>
      <w:pPr>
        <w:spacing w:after="80" w:before="50" w:line="320"/>
        <w:ind w:firstLine="200"/>
        <w:jc w:val="left"/>
      </w:pPr>
      <w:r>
        <w:rPr>
          <w:rFonts w:ascii="游ゴシック" w:cs="游ゴシック" w:eastAsia="游ゴシック" w:hAnsi="游ゴシック"/>
          <w:i w:val="false"/>
          <w:iCs w:val="false"/>
          <w:sz w:val="21"/>
          <w:szCs w:val="21"/>
        </w:rPr>
        <w:t xml:space="preserve">第10期保険料は、以下の8ステップで算定します。これは厚生労働省「市町村介護保険事業計画作成の手引き」（令和7年4月版）に準拠したものです。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Step</w:t>
            </w:r>
          </w:p>
        </w:tc>
        <w:tc>
          <w:tcPr>
            <w:tcW w:type="pct" w:w="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作業名</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内容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標準給付費見込額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9-1のサービス見込量に1人1月あたり給付費を乗じた総給付費に、特定入所者介護サービス費等・高額介護サービス費等・高額医療合算介護サービス費等・審査支払手数料を加えて、3年間の標準給付費見込額を算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地域支援事業費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総合事業・包括的支援事業・任意事業の事業費を算定（上限額管理あり）</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第1号負担分相当額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（標準給付費見込額＋地域支援事業費）× 第1号被保険者負担割合。第9期は23％。第10期の割合は政令で定められ、24％となった場合は月額約309円の上昇となる（9-4の感度表）</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調整交付金</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後期高齢者割合・所得段階別人口により交付率を算定。本算定は見える化システムの自動計算値（令和9年度6.14％・令和10年度5.93％・令和11年度5.69％）を用いた。標準の5.0％となった場合は月額約274円の上昇となるため、宮城県への照会を要する（9-4の感度表）</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財政安定化基金償還金</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第9期で借入があれば償還金を計上（川崎町では従来借入なし）</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介護給付費準備基金</w:t>
              <w:br/>
              <w:t xml:space="preserve">取崩額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保険料抑制のため取崩額を設定。基金残高（令和8年度末見込152,500千円）を踏まえ3パターンを設定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7</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保険料収納必要額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Step1〜6を反映した3年間の収納必要額（第1号負担分相当額＋調整交付金相当額－調整交付金見込額）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8</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保険料基準額の算定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保険料収納必要額 ÷ 予定保険料収納率 ÷ 所得段階別加入割合補正後被保険者数 ÷ 12 で月額基準額を決定</w:t>
            </w:r>
          </w:p>
        </w:tc>
      </w:tr>
    </w:tbl>
    <w:p>
      <w:pPr>
        <w:spacing w:after="80" w:before="180" w:line="300"/>
      </w:pPr>
      <w:r>
        <w:rPr>
          <w:rFonts w:ascii="游ゴシック" w:cs="游ゴシック" w:eastAsia="游ゴシック" w:hAnsi="游ゴシック"/>
          <w:b w:val="1"/>
          <w:bCs w:val="1"/>
          <w:i w:val="false"/>
          <w:iCs w:val="false"/>
          <w:sz w:val="22"/>
          <w:szCs w:val="22"/>
        </w:rPr>
        <w:t xml:space="preserve">　▌ 保険料基準額の算定式</w:t>
      </w:r>
    </w:p>
    <w:p>
      <w:pPr>
        <w:spacing w:after="200" w:before="200" w:line="360"/>
        <w:jc w:val="center"/>
      </w:pPr>
      <w:r>
        <w:rPr>
          <w:rFonts w:ascii="游ゴシック" w:cs="游ゴシック" w:eastAsia="游ゴシック" w:hAnsi="游ゴシック"/>
          <w:b w:val="1"/>
          <w:bCs w:val="1"/>
          <w:i w:val="false"/>
          <w:iCs w:val="false"/>
          <w:sz w:val="22"/>
          <w:szCs w:val="22"/>
        </w:rPr>
        <w:t xml:space="preserve">月額基準額 = 保険料収納必要額 ÷ 予定保険料収納率 ÷ 所得段階別加入割合補正後被保険者数 ÷ 12</w:t>
      </w:r>
    </w:p>
    <w:p>
      <w:pPr>
        <w:spacing w:after="80" w:before="50" w:line="320"/>
        <w:ind w:firstLine="200"/>
        <w:jc w:val="left"/>
      </w:pPr>
      <w:r>
        <w:rPr>
          <w:rFonts w:ascii="游ゴシック" w:cs="游ゴシック" w:eastAsia="游ゴシック" w:hAnsi="游ゴシック"/>
          <w:i w:val="false"/>
          <w:iCs w:val="false"/>
          <w:sz w:val="21"/>
          <w:szCs w:val="21"/>
        </w:rPr>
        <w:t xml:space="preserve">ここで「保険料収納必要額」は3年間の合計値です。「所得段階別加入割合補正後被保険者数」は、所得段階別の被保険者数に各段階の基準額に対する割合（乗率）を乗じて合計した値です。本算定では、令和7年度末の13段階別実績（計3,240人）から求めた補正係数1.0137を3か年計9,611人に乗じ、9,743.1人としています。「予定保険料収納率」は第9期と同じ96.0％を用いました。この算定式は、地域包括ケア「見える化」システムの推計ツールが用いる算式と同一であり、第9期計画書95頁の保険料算出表もこの式によっています。</w:t>
      </w:r>
    </w:p>
    <w:p>
      <w:pPr>
        <w:spacing w:after="80" w:before="180" w:line="300"/>
      </w:pPr>
      <w:r>
        <w:rPr>
          <w:rFonts w:ascii="游ゴシック" w:cs="游ゴシック" w:eastAsia="游ゴシック" w:hAnsi="游ゴシック"/>
          <w:b w:val="1"/>
          <w:bCs w:val="1"/>
          <w:i w:val="false"/>
          <w:iCs w:val="false"/>
          <w:sz w:val="22"/>
          <w:szCs w:val="22"/>
        </w:rPr>
        <w:t xml:space="preserve">　▌ 第10期 保険料算定表</w:t>
      </w:r>
    </w:p>
    <w:p>
      <w:pPr>
        <w:spacing w:after="80" w:before="50" w:line="320"/>
        <w:ind w:firstLine="200"/>
        <w:jc w:val="left"/>
      </w:pPr>
      <w:r>
        <w:rPr>
          <w:rFonts w:ascii="游ゴシック" w:cs="游ゴシック" w:eastAsia="游ゴシック" w:hAnsi="游ゴシック"/>
          <w:i w:val="false"/>
          <w:iCs w:val="false"/>
          <w:sz w:val="21"/>
          <w:szCs w:val="21"/>
        </w:rPr>
        <w:t xml:space="preserve">記号は、地域包括ケア「見える化」システムの推計ツール及び厚生労働省「市町村介護保険事業計画作成の手引き」の保険料算出表に対応しています。保険料は3か年を通じて同一の額とするため、月額基準額は3か年計から算定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4"/>
        <w:gridCol w:w="91"/>
        <w:gridCol w:w="91"/>
        <w:gridCol w:w="91"/>
        <w:gridCol w:w="91"/>
        <w:gridCol w:w="91"/>
        <w:gridCol w:w="91"/>
      </w:tblGrid>
      <w:tr>
        <w:tc>
          <w:tcPr>
            <w:tcW w:type="dxa" w:w="15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記号</w:t>
            </w:r>
          </w:p>
        </w:tc>
        <w:tc>
          <w:tcPr>
            <w:tcW w:type="dxa" w:w="9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項目</w:t>
            </w:r>
          </w:p>
        </w:tc>
        <w:tc>
          <w:tcPr>
            <w:tcW w:type="dxa" w:w="9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第10期計</w:t>
            </w:r>
          </w:p>
        </w:tc>
        <w:tc>
          <w:tcPr>
            <w:tcW w:type="dxa" w:w="9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令和9年度</w:t>
            </w:r>
          </w:p>
        </w:tc>
        <w:tc>
          <w:tcPr>
            <w:tcW w:type="dxa" w:w="9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令和10年度</w:t>
            </w:r>
          </w:p>
        </w:tc>
        <w:tc>
          <w:tcPr>
            <w:tcW w:type="dxa" w:w="9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令和11年度</w:t>
            </w:r>
          </w:p>
        </w:tc>
        <w:tc>
          <w:tcPr>
            <w:tcW w:type="dxa" w:w="9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算式・確定資料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A</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標準給付費見込額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3,313,925千円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1,106,839千円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1,102,112千円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1,104,974千円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総給付費＋特定入所者＋高額介護＋高額医療合算＋審査支払手数料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B</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地域支援事業費</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148,788千円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46,033千円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49,596千円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53,159千円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9-1の地域支援事業費</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合計（A＋B）</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3,462,713千円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1,152,872千円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1,151,708千円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1,158,133千円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第1号被保険者負担分の算定基礎</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C</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第1号被保険者負担分相当額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796,425千円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265,161千円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264,893千円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266,371千円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（A＋B）×23％。第10期の割合は政令による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D</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調整交付金相当額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166,672千円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55,681千円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55,431千円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55,560千円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A×5％＋総合事業費×5％</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E</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調整交付金見込額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197,345千円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68,377千円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65,741千円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63,227千円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（A＋総合事業費）×見込交付割合</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J</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保険料収納必要額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765,752千円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252,465千円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254,583千円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258,704千円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C＋D－E＋F＋G±H－I</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F・G・H</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財政安定化基金拠出金・償還金等</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0千円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0千円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0千円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0千円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川崎町ではいずれも0</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I</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介護給付費準備基金取崩額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［要協議］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基金残高・取崩方針（第3回策定委員会）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予定保険料収納率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96.0％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96.0％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96.0％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96.0％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第9期と同じ。総合収納率の実績は96.3〜96.7％</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③</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所得段階別加入割合補正後被保険者数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9,743.1人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3,275人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3,247人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3,221人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第1号被保険者数×補正係数1.013748</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算定上の月額基準額（取崩しを行わない場合）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6,822円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J÷収納率÷③÷12。3か年を通じて同一の額とする</w:t>
            </w:r>
          </w:p>
        </w:tc>
      </w:tr>
    </w:tbl>
    <w:p>
      <w:pPr>
        <w:spacing w:after="80" w:before="180" w:line="300"/>
      </w:pPr>
      <w:r>
        <w:rPr>
          <w:rFonts w:ascii="游ゴシック" w:cs="游ゴシック" w:eastAsia="游ゴシック" w:hAnsi="游ゴシック"/>
          <w:b w:val="1"/>
          <w:bCs w:val="1"/>
          <w:i w:val="false"/>
          <w:iCs w:val="false"/>
          <w:sz w:val="22"/>
          <w:szCs w:val="22"/>
        </w:rPr>
        <w:t xml:space="preserve">　▌ 介護給付費準備基金の活用方針</w:t>
      </w:r>
    </w:p>
    <w:p>
      <w:pPr>
        <w:spacing w:after="80" w:before="50" w:line="320"/>
        <w:ind w:firstLine="200"/>
        <w:jc w:val="left"/>
      </w:pPr>
      <w:r>
        <w:rPr>
          <w:rFonts w:ascii="游ゴシック" w:cs="游ゴシック" w:eastAsia="游ゴシック" w:hAnsi="游ゴシック"/>
          <w:i w:val="false"/>
          <w:iCs w:val="false"/>
          <w:sz w:val="21"/>
          <w:szCs w:val="21"/>
        </w:rPr>
        <w:t xml:space="preserve">介護給付費準備基金は、介護給付費が見込みを下回った際の剰余金を積み立てた基金です。令和8年9月1日提供の実績データによれば、残高は令和7年度末で148,100千円（令和8年6月確定分）、令和8年度末の見込みで152,500千円です。第9期計画は基金131,700千円の一部を取り崩す前提で保険料を設定しましたが、実際の取崩額は全年度0であり、基金は積み上がっています。この152,500千円は保険料に換算すると月額約1,359円分に相当し（表101の算定式による直接換算。円単位に丸めた基準額の差引きでは1,358円）、第10期の保険料水準を左右する最大の要素とな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2"/>
        <w:gridCol w:w="198"/>
        <w:gridCol w:w="100"/>
      </w:tblGrid>
      <w:tr>
        <w:tc>
          <w:tcPr>
            <w:tcW w:type="dxa" w:w="10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項目</w:t>
            </w:r>
          </w:p>
        </w:tc>
        <w:tc>
          <w:tcPr>
            <w:tcW w:type="dxa" w:w="19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金額・方針</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有効票</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令和7年度末 基金残高（令和8年6月確定）</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148,100千円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576件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令和8年度末 基金残高（見込み）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152,500千円（保険料に換算して月額約1,359円分）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576件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第10期 取崩額（3パターン）</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A：取崩なし 0千円／B：50％取崩 76,250千円／C：全額取崩 152,500千円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576件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第11期以降への影響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基金温存（パターンA）は次期の保険料急騰リスクを抑制／全額取崩（パターンC）は次期の負担が増大</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576件</w:t>
            </w:r>
          </w:p>
        </w:tc>
      </w:tr>
    </w:tbl>
    <w:p>
      <w:pPr>
        <w:spacing w:after="80" w:before="180" w:line="300"/>
      </w:pPr>
      <w:r>
        <w:rPr>
          <w:rFonts w:ascii="游ゴシック" w:cs="游ゴシック" w:eastAsia="游ゴシック" w:hAnsi="游ゴシック"/>
          <w:b w:val="1"/>
          <w:bCs w:val="1"/>
          <w:i w:val="false"/>
          <w:iCs w:val="false"/>
          <w:sz w:val="22"/>
          <w:szCs w:val="22"/>
        </w:rPr>
        <w:t xml:space="preserve">　▌ 算定の3パターン</w:t>
      </w:r>
    </w:p>
    <w:p>
      <w:pPr>
        <w:spacing w:after="80" w:before="50" w:line="320"/>
        <w:ind w:firstLine="200"/>
        <w:jc w:val="left"/>
      </w:pPr>
      <w:r>
        <w:rPr>
          <w:rFonts w:ascii="游ゴシック" w:cs="游ゴシック" w:eastAsia="游ゴシック" w:hAnsi="游ゴシック"/>
          <w:i w:val="false"/>
          <w:iCs w:val="false"/>
          <w:sz w:val="21"/>
          <w:szCs w:val="21"/>
        </w:rPr>
        <w:t xml:space="preserve">第10期の介護保険料は、介護給付費準備基金の取崩額を主な変動要因として、次の3パターンを算定しました。基準額は、第3回策定委員会で協議のうえ確定します。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0"/>
        <w:gridCol w:w="80"/>
        <w:gridCol w:w="220"/>
        <w:gridCol w:w="100"/>
        <w:gridCol w:w="60"/>
      </w:tblGrid>
      <w:tr>
        <w:tc>
          <w:tcPr>
            <w:tcW w:type="dxa" w:w="4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パターン</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基金取崩方針</w:t>
            </w:r>
          </w:p>
        </w:tc>
        <w:tc>
          <w:tcPr>
            <w:tcW w:type="dxa" w:w="2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特徴</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月額基準額</w:t>
            </w:r>
          </w:p>
        </w:tc>
        <w:tc>
          <w:tcPr>
            <w:tcW w:type="dxa" w:w="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第11期影響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A</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基金取崩なし</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基金を温存。第11期以降の保険料急騰リスクを抑制。給付費増を保険料に直接反映</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6,822円（第9期比 +322円）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緩和</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B</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基金50%取崩</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給付費増を相殺し、第9期を下回る水準を確保。次期負担との均衡を取る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6,143円（第9期比 ▲357円）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中位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C</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基金全額取崩</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保険料抑制を最大化（住民負担軽減）。ただし第11期負担が大きくなる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5,464円（第9期比 ▲1,036円）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増大</w:t>
            </w:r>
          </w:p>
        </w:tc>
      </w:tr>
    </w:tbl>
    <w:p>
      <w:pPr>
        <w:spacing w:after="80" w:before="50" w:line="320"/>
        <w:ind w:firstLine="200"/>
        <w:jc w:val="left"/>
      </w:pPr>
      <w:r>
        <w:rPr>
          <w:rFonts w:ascii="游ゴシック" w:cs="游ゴシック" w:eastAsia="游ゴシック" w:hAnsi="游ゴシック"/>
          <w:i w:val="false"/>
          <w:iCs w:val="false"/>
          <w:sz w:val="21"/>
          <w:szCs w:val="21"/>
        </w:rPr>
        <w:t xml:space="preserve">令和7年度の実績を基礎として算定すると、月額基準額はパターンA 6,822円、パターンB 6,143円、パターンC 5,464円となります。第9期の6,500円との差は、それぞれ＋322円、▲357円、▲1,036円です。準備基金152,500千円は保険料に換算して月額約1,359円分に相当します。取崩しを行わないパターンAでも、第9期の取崩し前の水準（7,206.92円）を385円下回ります。</w:t>
      </w:r>
    </w:p>
    <w:p>
      <w:pPr>
        <w:spacing w:after="80" w:before="50" w:line="320"/>
        <w:ind w:firstLine="200"/>
        <w:jc w:val="left"/>
      </w:pPr>
      <w:r>
        <w:rPr>
          <w:rFonts w:ascii="游ゴシック" w:cs="游ゴシック" w:eastAsia="游ゴシック" w:hAnsi="游ゴシック"/>
          <w:i w:val="false"/>
          <w:iCs w:val="false"/>
          <w:sz w:val="21"/>
          <w:szCs w:val="21"/>
        </w:rPr>
        <w:t xml:space="preserve">この算定には、なお次の不確定要素があります。①介護給付費準備基金の令和8年度末残高（152,500千円）は見込値であり、取崩方針とあわせて第3回策定委員会で決定します。②調整交付金の見込交付割合は全国の仮置値による自動計算値（令和9年度6.14％・令和10年度5.93％・令和11年度5.69％）を用いており、標準の5.0％となった場合は月額約274円上がります。③令和9年度の介護報酬改定の内容は未確定です。④第10期の第1号被保険者負担割合が24％と定められた場合は、月額約309円上がります。それぞれの効きは下表のとおりです。確定値は第3回策定委員会（令和9年1月）でお示しします。</w:t>
      </w:r>
    </w:p>
    <w:p>
      <w:pPr>
        <w:spacing w:after="80" w:before="180" w:line="300"/>
      </w:pPr>
      <w:r>
        <w:rPr>
          <w:rFonts w:ascii="游ゴシック" w:cs="游ゴシック" w:eastAsia="游ゴシック" w:hAnsi="游ゴシック"/>
          <w:b w:val="1"/>
          <w:bCs w:val="1"/>
          <w:i w:val="false"/>
          <w:iCs w:val="false"/>
          <w:sz w:val="22"/>
          <w:szCs w:val="22"/>
        </w:rPr>
        <w:t xml:space="preserve">　▌ 前提を動かした場合の幅</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30"/>
        <w:gridCol w:w="140"/>
        <w:gridCol w:w="70"/>
        <w:gridCol w:w="60"/>
      </w:tblGrid>
      <w:tr>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前提</w:t>
            </w:r>
          </w:p>
        </w:tc>
        <w:tc>
          <w:tcPr>
            <w:tcW w:type="dxa" w:w="1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本算定の置き方</w:t>
            </w:r>
          </w:p>
        </w:tc>
        <w:tc>
          <w:tcPr>
            <w:tcW w:type="dxa" w:w="14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動かした場合</w:t>
            </w:r>
          </w:p>
        </w:tc>
        <w:tc>
          <w:tcPr>
            <w:tcW w:type="dxa" w:w="7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月額基準額</w:t>
            </w:r>
          </w:p>
        </w:tc>
        <w:tc>
          <w:tcPr>
            <w:tcW w:type="dxa" w:w="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差</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介護給付費準備基金の取崩し</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0円（算定Ａ）</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76,250千円（50％取崩し・算定Ｂ）</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6,143円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▲679円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同上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152,500千円（全額取崩し・算定Ｃ）</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5,464円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▲1,358円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同上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78,000千円（第9期と同額）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6,127円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▲695円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第1号被保険者負担割合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23％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7,131円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＋309円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調整交付金の見込交付割合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令和9年度6.14％・令和10年度5.93％・令和11年度5.69％（自動計算値）</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5.0％（標準）</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7,096円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＋274円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介護報酬改定率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0％（令和7年度の単価で固定）</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6,888円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＋66円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同上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7,018円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＋196円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予定保険料収納率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96.0％（第9期と同じ）</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99.6％（令和7年度の現年度分実績）</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6,576円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▲246円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地域支援事業費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システムの現行値（3か年148,788千円）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令和7年度実績で据え置き（3か年109,827千円）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6,743円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▲79円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所得段階別加入割合の補正係数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1.013748（令和7年度末の実績）</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0.964047（見える化システムの登録値）</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7,174円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＋352円</w:t>
            </w:r>
          </w:p>
        </w:tc>
      </w:tr>
    </w:tbl>
    <w:p>
      <w:pPr>
        <w:spacing w:after="80" w:before="50" w:line="320"/>
        <w:ind w:firstLine="200"/>
        <w:jc w:val="left"/>
      </w:pPr>
      <w:r>
        <w:rPr>
          <w:rFonts w:ascii="游ゴシック" w:cs="游ゴシック" w:eastAsia="游ゴシック" w:hAnsi="游ゴシック"/>
          <w:i w:val="false"/>
          <w:iCs w:val="false"/>
          <w:sz w:val="21"/>
          <w:szCs w:val="21"/>
        </w:rPr>
        <w:t xml:space="preserve">⚠ 各欄は、本算定から当該の前提のみを動かした場合の値です。複数を同時に動かした場合の値ではありません。効きが大きいのは介護給付費準備基金の取崩しと所得段階別加入割合の補正係数で、いずれも第3回策定委員会までに確定します。</w:t>
      </w:r>
    </w:p>
    <w:p>
      <w:pPr>
        <w:spacing w:after="80" w:before="180" w:line="300"/>
      </w:pPr>
      <w:r>
        <w:rPr>
          <w:rFonts w:ascii="游ゴシック" w:cs="游ゴシック" w:eastAsia="游ゴシック" w:hAnsi="游ゴシック"/>
          <w:b w:val="1"/>
          <w:bCs w:val="1"/>
          <w:i w:val="false"/>
          <w:iCs w:val="false"/>
          <w:sz w:val="22"/>
          <w:szCs w:val="22"/>
        </w:rPr>
        <w:t xml:space="preserve">　▌ 認知症施策の追加による保険料への影響（財源別）</w:t>
      </w:r>
    </w:p>
    <w:p>
      <w:pPr>
        <w:spacing w:after="80" w:before="50" w:line="320"/>
        <w:ind w:firstLine="200"/>
        <w:jc w:val="left"/>
      </w:pPr>
      <w:r>
        <w:rPr>
          <w:rFonts w:ascii="游ゴシック" w:cs="游ゴシック" w:eastAsia="游ゴシック" w:hAnsi="游ゴシック"/>
          <w:i w:val="false"/>
          <w:iCs w:val="false"/>
          <w:sz w:val="21"/>
          <w:szCs w:val="21"/>
        </w:rPr>
        <w:t xml:space="preserve">第6章6-4に掲げた事業の追加候補が保険料に影響するかどうかは、どの財源で実施するかによって決まります。地域支援事業（介護予防・日常生活支援総合事業、包括的支援事業、任意事業）は第1号被保険者の保険料が財源の23％を占めるため保険料に影響し、町の一般会計で実施する啓発・印刷等は保険料に影響しません。下表の月額への影響は、表101の予定保険料収納率96.0％及び所得段階別加入割合補正後被保険者数9,743.1人により算定した概算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10"/>
        <w:gridCol w:w="150"/>
        <w:gridCol w:w="80"/>
        <w:gridCol w:w="80"/>
        <w:gridCol w:w="80"/>
      </w:tblGrid>
      <w:tr>
        <w:tc>
          <w:tcPr>
            <w:tcW w:type="dxa" w:w="1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実施の形</w:t>
            </w:r>
          </w:p>
        </w:tc>
        <w:tc>
          <w:tcPr>
            <w:tcW w:type="dxa" w:w="1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財源構成（令和8年度）</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毎年100万円増の月額影響</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毎年500万円増の月額影響</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備考</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包括的支援事業・任意事業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第1号保険料23％／国38.5％／県19.25％／町19.25％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約＋6.1円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約＋30.7円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本人ミーティング・ピアサポート・認知症総合支援事業・伴走型支援等</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介護予防・日常生活支援総合事業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第1号保険料23％／第2号保険料27％／国25％／県12.5％／町12.5％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約＋6.1円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約＋30.7円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通いの場等による介護予防（再掲）。第1号の割合は上記と同じ23％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町の一般会計（啓発・印刷・旅費）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町の一般財源100％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認知症ケアパスの印刷費・関係機関への働きかけの旅費等</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宮城県の事業・国庫補助事業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県費・国費（町の負担分を除く）</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認知症対応力向上研修・若年性認知症支援コーディネーター・認知症希望大使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介護給付・介護予防給付</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第1号保険料23％／第2号27％／国20〜25％／県・町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別途算定</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別途算定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サービスの新設・利用増は9-1のサービス見込量及び給付費で算定する。本表の概算は用いない</w:t>
            </w:r>
          </w:p>
        </w:tc>
      </w:tr>
    </w:tbl>
    <w:p>
      <w:pPr>
        <w:spacing w:after="80" w:before="50" w:line="320"/>
        <w:ind w:firstLine="200"/>
        <w:jc w:val="left"/>
      </w:pPr>
      <w:r>
        <w:rPr>
          <w:rFonts w:ascii="游ゴシック" w:cs="游ゴシック" w:eastAsia="游ゴシック" w:hAnsi="游ゴシック"/>
          <w:i w:val="false"/>
          <w:iCs w:val="false"/>
          <w:sz w:val="21"/>
          <w:szCs w:val="21"/>
        </w:rPr>
        <w:t xml:space="preserve">⚠ 第10期の第1号被保険者負担割合が24％と定められた場合、毎年100万円増の影響は約＋6.4円、毎年500万円増の影響は約＋32.1円となります。本表は、追加候補の金額が確定していないため、「毎年いくら増えたら月額がいくら動くか」を示す換算表です。個々の事業の金額は、第2回策定委員会の選択1のご判断を経て積算し、第3回策定委員会（令和9年1月）で保険料に反映します。</w:t>
      </w:r>
    </w:p>
    <w:p>
      <w:pPr>
        <w:spacing w:after="80" w:before="180" w:line="300"/>
      </w:pPr>
      <w:r>
        <w:rPr>
          <w:rFonts w:ascii="游ゴシック" w:cs="游ゴシック" w:eastAsia="游ゴシック" w:hAnsi="游ゴシック"/>
          <w:b w:val="1"/>
          <w:bCs w:val="1"/>
          <w:i w:val="false"/>
          <w:iCs w:val="false"/>
          <w:sz w:val="22"/>
          <w:szCs w:val="22"/>
        </w:rPr>
        <w:t xml:space="preserve">　▌ 所得段階の乗率の検討（現行13段階）</w:t>
      </w:r>
    </w:p>
    <w:p>
      <w:pPr>
        <w:spacing w:after="80" w:before="50" w:line="320"/>
        <w:ind w:firstLine="200"/>
        <w:jc w:val="left"/>
      </w:pPr>
      <w:r>
        <w:rPr>
          <w:rFonts w:ascii="游ゴシック" w:cs="游ゴシック" w:eastAsia="游ゴシック" w:hAnsi="游ゴシック"/>
          <w:i w:val="false"/>
          <w:iCs w:val="false"/>
          <w:sz w:val="21"/>
          <w:szCs w:val="21"/>
        </w:rPr>
        <w:t xml:space="preserve">川崎町は令和6年度から13段階の所得段階を実施しています。第10期の論点は段階数ではなく、各段階の乗率の設定です。国は第10期に向けて標準段階数・標準乗率・公費による低所得者軽減の乗率を示す予定であり、その内容が確定した段階で、所得段階別被保険者数を用いて試算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項目</w:t>
            </w:r>
          </w:p>
        </w:tc>
        <w:tc>
          <w:tcPr>
            <w:tcW w:type="pct" w:w="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第9期（令和6年度〜・現行）</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第10期の論点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段階数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13段階（令和5年度までの9段階から令和6年度に移行）</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13段階を維持。国が示す標準段階数を確認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最低段階の保険料率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0.455（第1段階・公費軽減後0.285）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国の標準乗率及び公費による低所得者軽減の乗率を確認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最高段階の保険料率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2.40（第13段階・合計所得720万円以上）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高所得層の乗率の引上げ（弾力化）の可否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川崎町への影響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第1〜第3段階（住民税世帯非課税）986人・30.4％（令和7年度末）</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13段階別の実績（令和7年度末）を反映済み。国の標準乗率の提示を受けて負担への影響を試算する</w:t>
            </w:r>
          </w:p>
        </w:tc>
      </w:tr>
    </w:tbl>
    <w:p>
      <w:pPr>
        <w:spacing w:after="80" w:before="50" w:line="320"/>
        <w:ind w:firstLine="200"/>
        <w:jc w:val="left"/>
      </w:pPr>
      <w:r>
        <w:rPr>
          <w:rFonts w:ascii="游ゴシック" w:cs="游ゴシック" w:eastAsia="游ゴシック" w:hAnsi="游ゴシック"/>
          <w:i w:val="false"/>
          <w:iCs w:val="false"/>
          <w:sz w:val="21"/>
          <w:szCs w:val="21"/>
        </w:rPr>
        <w:t xml:space="preserve">市町村は条例により乗率を調整することができます。乗率を高所得層で引き上げ、低所得層で引き下げる（弾力化）と、基準額そのものは下がりますが高所得層の負担は増えます。具体的な乗率と影響額は、所得段階別被保険者数のご提供を受けたうえで、第3回策定委員会で協議します。</w:t>
      </w:r>
    </w:p>
    <w:p>
      <w:pPr>
        <w:spacing w:after="80" w:before="180" w:line="300"/>
      </w:pPr>
      <w:r>
        <w:rPr>
          <w:rFonts w:ascii="游ゴシック" w:cs="游ゴシック" w:eastAsia="游ゴシック" w:hAnsi="游ゴシック"/>
          <w:b w:val="1"/>
          <w:bCs w:val="1"/>
          <w:i w:val="false"/>
          <w:iCs w:val="false"/>
          <w:sz w:val="22"/>
          <w:szCs w:val="22"/>
        </w:rPr>
        <w:t xml:space="preserve">　▌ 予定収納率の設定</w:t>
      </w:r>
    </w:p>
    <w:p>
      <w:pPr>
        <w:spacing w:after="80" w:before="50" w:line="320"/>
        <w:ind w:firstLine="200"/>
        <w:jc w:val="left"/>
      </w:pPr>
      <w:r>
        <w:rPr>
          <w:rFonts w:ascii="游ゴシック" w:cs="游ゴシック" w:eastAsia="游ゴシック" w:hAnsi="游ゴシック"/>
          <w:i w:val="false"/>
          <w:iCs w:val="false"/>
          <w:sz w:val="21"/>
          <w:szCs w:val="21"/>
        </w:rPr>
        <w:t xml:space="preserve">予定収納率は、過去の保険料収納率の実績を踏まえて設定します。川崎町の総合収納率（滞納繰越分を含む）は、令和3年度96.3％・令和7年度96.7％で、令和2年度から令和7年度まで96.3〜96.7％で安定して推移しています。本計画では、第9期計画と同じ96.0％を用いました。なお、町提供実績データの令和7年度の値99.6％は、年報と突き合わせた結果、現年度分の収納率（99.56％）であることが確認できました。他の年度は滞納繰越分を含む総合収納率であり、範囲が異な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項目</w:t>
            </w:r>
          </w:p>
        </w:tc>
        <w:tc>
          <w:tcPr>
            <w:tcW w:type="pct" w:w="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令和3年度（年報）</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令和7年度（年報）</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特別徴収（年金天引）</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100.0%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100.0%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普通徴収（自主納付・現年度分）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87.3%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94.1%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現年度分計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99.0%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99.6%</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総合計（滞納繰越分含む）</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96.3%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96.7%</w:t>
            </w:r>
          </w:p>
        </w:tc>
      </w:tr>
    </w:tbl>
    <w:p>
      <w:pPr>
        <w:spacing w:after="80" w:before="30" w:line="260"/>
        <w:jc w:val="right"/>
      </w:pPr>
      <w:r>
        <w:rPr>
          <w:rFonts w:ascii="游ゴシック" w:cs="游ゴシック" w:eastAsia="游ゴシック" w:hAnsi="游ゴシック"/>
          <w:i/>
          <w:iCs/>
          <w:sz w:val="17"/>
          <w:szCs w:val="17"/>
        </w:rPr>
        <w:t xml:space="preserve">出典：令和3年度・令和7年度：介護保険事業状況報告（年報・様式3）／令和2〜8年度：町提供実績データ（令和8年9月1日受領・05シート、出典は決算書）</w:t>
      </w:r>
    </w:p>
    <w:p>
      <w:pPr>
        <w:spacing w:after="80" w:before="180" w:line="300"/>
      </w:pPr>
      <w:r>
        <w:rPr>
          <w:rFonts w:ascii="游ゴシック" w:cs="游ゴシック" w:eastAsia="游ゴシック" w:hAnsi="游ゴシック"/>
          <w:b w:val="1"/>
          <w:bCs w:val="1"/>
          <w:i w:val="false"/>
          <w:iCs w:val="false"/>
          <w:sz w:val="22"/>
          <w:szCs w:val="22"/>
        </w:rPr>
        <w:t xml:space="preserve">　▌ 近隣自治体・宮城県・全国との比較</w:t>
      </w:r>
    </w:p>
    <w:p>
      <w:pPr>
        <w:spacing w:after="80" w:before="50" w:line="320"/>
        <w:ind w:firstLine="200"/>
        <w:jc w:val="left"/>
      </w:pPr>
      <w:r>
        <w:rPr>
          <w:rFonts w:ascii="游ゴシック" w:cs="游ゴシック" w:eastAsia="游ゴシック" w:hAnsi="游ゴシック"/>
          <w:i w:val="false"/>
          <w:iCs w:val="false"/>
          <w:sz w:val="21"/>
          <w:szCs w:val="21"/>
        </w:rPr>
        <w:t xml:space="preserve">第10期保険料の参考値として、近隣自治体（仙南圏域）・宮城県・全国の保険料水準を比較します。川崎町の第9期保険料6,500円（算定表上の基準額は月額6,508円）は、宮城県内35市町村中で第10〜12位（村田町・丸森町と同額）であり、県加重平均6,098円を402円、全国加重平均6,225円を275円上回る水準です。仙南圏域9市町では最高水準（圏域単純平均5,761円を739円上回る）にあります。高齢化率が県内でも上位であることと整合する水準といえ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自治体・区分</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第9期保険料
（月額基準額）</w:t>
            </w:r>
          </w:p>
        </w:tc>
        <w:tc>
          <w:tcPr>
            <w:tcW w:type="pct" w:w="3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出典・備考</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川崎町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6,500円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第9期計画書（算定表上の基準額は月額6,508円）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仙南圏域9市町 単純平均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5,761円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宮城県 市町村別保険料一覧（第9期）。川崎町は圏域内で最高水準</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宮城県 加重平均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6,098円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同上。川崎町は県内35市町村中 第10〜12位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全国 加重平均</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6,225円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厚生労働省 第9期介護保険料の状況</w:t>
            </w:r>
          </w:p>
        </w:tc>
      </w:tr>
    </w:tbl>
    <w:p>
      <w:pPr>
        <w:spacing w:after="80" w:before="80" w:line="280"/>
        <w:ind w:left="288"/>
      </w:pPr>
      <w:r>
        <w:rPr>
          <w:rFonts w:ascii="游ゴシック" w:cs="游ゴシック" w:eastAsia="游ゴシック" w:hAnsi="游ゴシック"/>
          <w:i/>
          <w:iCs/>
          <w:sz w:val="19"/>
          <w:szCs w:val="19"/>
        </w:rPr>
        <w:t xml:space="preserve">⚠ 県内順位は宮城県公表の市町村別保険料一覧（第9期）により確認済みです。第10期の比較値は、各市町村の計画確定後に更新します。</w:t>
      </w:r>
    </w:p>
    <w:p>
      <w:pPr>
        <w:spacing w:after="80" w:before="180" w:line="300"/>
      </w:pPr>
      <w:r>
        <w:rPr>
          <w:rFonts w:ascii="游ゴシック" w:cs="游ゴシック" w:eastAsia="游ゴシック" w:hAnsi="游ゴシック"/>
          <w:b w:val="1"/>
          <w:bCs w:val="1"/>
          <w:i w:val="false"/>
          <w:iCs w:val="false"/>
          <w:sz w:val="22"/>
          <w:szCs w:val="22"/>
        </w:rPr>
        <w:t xml:space="preserve">　▌ 所得段階別保険料（第10期は算定Ｂによる参考値）</w:t>
      </w:r>
    </w:p>
    <w:p>
      <w:pPr>
        <w:spacing w:after="80" w:before="50" w:line="320"/>
        <w:ind w:firstLine="200"/>
        <w:jc w:val="left"/>
      </w:pPr>
      <w:r>
        <w:rPr>
          <w:rFonts w:ascii="游ゴシック" w:cs="游ゴシック" w:eastAsia="游ゴシック" w:hAnsi="游ゴシック"/>
          <w:i w:val="false"/>
          <w:iCs w:val="false"/>
          <w:sz w:val="21"/>
          <w:szCs w:val="21"/>
        </w:rPr>
        <w:t xml:space="preserve">所得段階別の保険料は、基準額に各段階の乗率を乗じて算定します。下表は、令和6年度から適用している13段階の乗率をそのまま用い、第10期の算定Ｂ（基金50％取崩・月額6,143円）を基準額とした場合の月額です。第10期の乗率は国の政令により標準が示されるため、確定値は第3回策定委員会で協議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0"/>
        <w:gridCol w:w="180"/>
        <w:gridCol w:w="80"/>
        <w:gridCol w:w="90"/>
        <w:gridCol w:w="90"/>
      </w:tblGrid>
      <w:tr>
        <w:tc>
          <w:tcPr>
            <w:tcW w:type="dxa" w:w="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段階</w:t>
            </w:r>
          </w:p>
        </w:tc>
        <w:tc>
          <w:tcPr>
            <w:tcW w:type="dxa" w:w="1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対象</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基準額に対する割合</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第9期 月額</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第10期 月額（算定Ｂ）</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第1段階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生活保護受給者・老齢福祉年金受給者／世帯非課税で年金収入等80万円以下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0.455（軽減後0.285）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2,957.5円（軽減後1,852.5円）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2,795円（軽減後1,751円）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第2段階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世帯非課税／年金収入等80万円超120万円以下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0.685（軽減後0.485）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4,452.5円（軽減後3,152.5円）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4,208円（軽減後2,979円）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第3段階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世帯非課税／年金収入等120万円超</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0.690（軽減後0.685）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4,485円（軽減後4,452.5円）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4,239円（軽減後4,208円）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第4段階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世帯課税・本人非課税／年金収入等80万円以下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0.90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5,850円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5,529円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第5段階（基準）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世帯課税・本人非課税／年金収入等80万円超</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6,500円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6,143円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第6段階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本人課税／合計所得120万円未満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1.20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7,800円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7,372円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第7段階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本人課税／合計所得120万円以上210万円未満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1.30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8,450円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7,986円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第8段階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本人課税／合計所得210万円以上320万円未満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1.50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9,750円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9,215円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第9段階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本人課税／合計所得320万円以上420万円未満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11,050円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10,443円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第10段階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本人課税／合計所得420万円以上520万円未満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1.90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12,350円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11,672円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第11段階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本人課税／合計所得520万円以上620万円未満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13,650円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12,900円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第12段階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本人課税／合計所得620万円以上720万円未満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2.30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14,950円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14,129円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第13段階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本人課税／合計所得720万円以上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2.40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15,600円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14,743円</w:t>
            </w:r>
          </w:p>
        </w:tc>
      </w:tr>
    </w:tbl>
    <w:p>
      <w:pPr>
        <w:spacing w:after="80" w:before="30" w:line="260"/>
        <w:jc w:val="right"/>
      </w:pPr>
      <w:r>
        <w:rPr>
          <w:rFonts w:ascii="游ゴシック" w:cs="游ゴシック" w:eastAsia="游ゴシック" w:hAnsi="游ゴシック"/>
          <w:i/>
          <w:iCs/>
          <w:sz w:val="17"/>
          <w:szCs w:val="17"/>
        </w:rPr>
        <w:t xml:space="preserve">出典：乗率及び第9期月額は第9期計画書95頁。第10期月額は本計画の算定Ｂ（月額6,143円）に第9期の乗率を乗じた参考値であり、国の標準乗率の提示を経て確定する</w:t>
      </w:r>
    </w:p>
    <w:p>
      <w:pPr>
        <w:spacing w:after="80" w:before="180" w:line="300"/>
      </w:pPr>
      <w:r>
        <w:rPr>
          <w:rFonts w:ascii="游ゴシック" w:cs="游ゴシック" w:eastAsia="游ゴシック" w:hAnsi="游ゴシック"/>
          <w:b w:val="1"/>
          <w:bCs w:val="1"/>
          <w:i w:val="false"/>
          <w:iCs w:val="false"/>
          <w:sz w:val="22"/>
          <w:szCs w:val="22"/>
        </w:rPr>
        <w:t xml:space="preserve">　▌ 確定スケジュール</w:t>
      </w:r>
    </w:p>
    <w:p>
      <w:pPr>
        <w:spacing w:after="80" w:before="50" w:line="320"/>
        <w:ind w:firstLine="200"/>
        <w:jc w:val="left"/>
      </w:pPr>
      <w:r>
        <w:rPr>
          <w:rFonts w:ascii="游ゴシック" w:cs="游ゴシック" w:eastAsia="游ゴシック" w:hAnsi="游ゴシック"/>
          <w:i w:val="false"/>
          <w:iCs w:val="false"/>
          <w:sz w:val="21"/>
          <w:szCs w:val="21"/>
        </w:rPr>
        <w:t xml:space="preserve">第10期介護保険料の確定は、以下のスケジュールで進めます。</w:t>
      </w:r>
    </w:p>
    <w:p>
      <w:pPr>
        <w:spacing w:after="40" w:before="40" w:line="300"/>
        <w:ind w:left="431"/>
      </w:pPr>
      <w:r>
        <w:rPr>
          <w:rFonts w:ascii="游ゴシック" w:cs="游ゴシック" w:eastAsia="游ゴシック" w:hAnsi="游ゴシック"/>
          <w:i w:val="false"/>
          <w:iCs w:val="false"/>
          <w:sz w:val="21"/>
          <w:szCs w:val="21"/>
        </w:rPr>
        <w:t xml:space="preserve">①　</w:t>
      </w:r>
      <w:r>
        <w:rPr>
          <w:rFonts w:ascii="游ゴシック" w:cs="游ゴシック" w:eastAsia="游ゴシック" w:hAnsi="游ゴシック"/>
          <w:i w:val="false"/>
          <w:iCs w:val="false"/>
          <w:sz w:val="21"/>
          <w:szCs w:val="21"/>
        </w:rPr>
        <w:t xml:space="preserve">令和8年9月：介護給付費準備基金残高の確認（令和7年度末148,100千円）</w:t>
      </w:r>
    </w:p>
    <w:p>
      <w:pPr>
        <w:spacing w:after="40" w:before="40" w:line="300"/>
        <w:ind w:left="431"/>
      </w:pPr>
      <w:r>
        <w:rPr>
          <w:rFonts w:ascii="游ゴシック" w:cs="游ゴシック" w:eastAsia="游ゴシック" w:hAnsi="游ゴシック"/>
          <w:i w:val="false"/>
          <w:iCs w:val="false"/>
          <w:sz w:val="21"/>
          <w:szCs w:val="21"/>
        </w:rPr>
        <w:t xml:space="preserve">②　</w:t>
      </w:r>
      <w:r>
        <w:rPr>
          <w:rFonts w:ascii="游ゴシック" w:cs="游ゴシック" w:eastAsia="游ゴシック" w:hAnsi="游ゴシック"/>
          <w:i w:val="false"/>
          <w:iCs w:val="false"/>
          <w:sz w:val="21"/>
          <w:szCs w:val="21"/>
        </w:rPr>
        <w:t xml:space="preserve">令和8年9月2日：第1回策定委員会でニーズ調査結果を報告、現状と論点を共有</w:t>
      </w:r>
    </w:p>
    <w:p>
      <w:pPr>
        <w:spacing w:after="40" w:before="40" w:line="300"/>
        <w:ind w:left="431"/>
      </w:pPr>
      <w:r>
        <w:rPr>
          <w:rFonts w:ascii="游ゴシック" w:cs="游ゴシック" w:eastAsia="游ゴシック" w:hAnsi="游ゴシック"/>
          <w:i w:val="false"/>
          <w:iCs w:val="false"/>
          <w:sz w:val="21"/>
          <w:szCs w:val="21"/>
        </w:rPr>
        <w:t xml:space="preserve">③　</w:t>
      </w:r>
      <w:r>
        <w:rPr>
          <w:rFonts w:ascii="游ゴシック" w:cs="游ゴシック" w:eastAsia="游ゴシック" w:hAnsi="游ゴシック"/>
          <w:i w:val="false"/>
          <w:iCs w:val="false"/>
          <w:sz w:val="21"/>
          <w:szCs w:val="21"/>
        </w:rPr>
        <w:t xml:space="preserve">令和8年11月：第2回策定委員会でサービス見込量・標準給付費の方向性を確定</w:t>
      </w:r>
    </w:p>
    <w:p>
      <w:pPr>
        <w:spacing w:after="40" w:before="40" w:line="300"/>
        <w:ind w:left="431"/>
      </w:pPr>
      <w:r>
        <w:rPr>
          <w:rFonts w:ascii="游ゴシック" w:cs="游ゴシック" w:eastAsia="游ゴシック" w:hAnsi="游ゴシック"/>
          <w:i w:val="false"/>
          <w:iCs w:val="false"/>
          <w:sz w:val="21"/>
          <w:szCs w:val="21"/>
        </w:rPr>
        <w:t xml:space="preserve">④　</w:t>
      </w:r>
      <w:r>
        <w:rPr>
          <w:rFonts w:ascii="游ゴシック" w:cs="游ゴシック" w:eastAsia="游ゴシック" w:hAnsi="游ゴシック"/>
          <w:i w:val="false"/>
          <w:iCs w:val="false"/>
          <w:sz w:val="21"/>
          <w:szCs w:val="21"/>
        </w:rPr>
        <w:t xml:space="preserve">令和8年12月〜令和9年1月：保険料試算の精緻化（受託者＋町担当課）</w:t>
      </w:r>
    </w:p>
    <w:p>
      <w:pPr>
        <w:spacing w:after="40" w:before="40" w:line="300"/>
        <w:ind w:left="431"/>
      </w:pPr>
      <w:r>
        <w:rPr>
          <w:rFonts w:ascii="游ゴシック" w:cs="游ゴシック" w:eastAsia="游ゴシック" w:hAnsi="游ゴシック"/>
          <w:i w:val="false"/>
          <w:iCs w:val="false"/>
          <w:sz w:val="21"/>
          <w:szCs w:val="21"/>
        </w:rPr>
        <w:t xml:space="preserve">⑤　</w:t>
      </w:r>
      <w:r>
        <w:rPr>
          <w:rFonts w:ascii="游ゴシック" w:cs="游ゴシック" w:eastAsia="游ゴシック" w:hAnsi="游ゴシック"/>
          <w:i w:val="false"/>
          <w:iCs w:val="false"/>
          <w:sz w:val="21"/>
          <w:szCs w:val="21"/>
        </w:rPr>
        <w:t xml:space="preserve">令和9年1月：第3回策定委員会で保険料基準額を決定し、答申の内容を確定</w:t>
      </w:r>
    </w:p>
    <w:p>
      <w:pPr>
        <w:spacing w:after="40" w:before="40" w:line="300"/>
        <w:ind w:left="431"/>
      </w:pPr>
      <w:r>
        <w:rPr>
          <w:rFonts w:ascii="游ゴシック" w:cs="游ゴシック" w:eastAsia="游ゴシック" w:hAnsi="游ゴシック"/>
          <w:i w:val="false"/>
          <w:iCs w:val="false"/>
          <w:sz w:val="21"/>
          <w:szCs w:val="21"/>
        </w:rPr>
        <w:t xml:space="preserve">⑥　</w:t>
      </w:r>
      <w:r>
        <w:rPr>
          <w:rFonts w:ascii="游ゴシック" w:cs="游ゴシック" w:eastAsia="游ゴシック" w:hAnsi="游ゴシック"/>
          <w:i w:val="false"/>
          <w:iCs w:val="false"/>
          <w:sz w:val="21"/>
          <w:szCs w:val="21"/>
        </w:rPr>
        <w:t xml:space="preserve">令和9年1〜2月：パブリックコメントの実施</w:t>
      </w:r>
    </w:p>
    <w:p>
      <w:pPr>
        <w:spacing w:after="40" w:before="40" w:line="300"/>
        <w:ind w:left="431"/>
      </w:pPr>
      <w:r>
        <w:rPr>
          <w:rFonts w:ascii="游ゴシック" w:cs="游ゴシック" w:eastAsia="游ゴシック" w:hAnsi="游ゴシック"/>
          <w:i w:val="false"/>
          <w:iCs w:val="false"/>
          <w:sz w:val="21"/>
          <w:szCs w:val="21"/>
        </w:rPr>
        <w:t xml:space="preserve">⑦　</w:t>
      </w:r>
      <w:r>
        <w:rPr>
          <w:rFonts w:ascii="游ゴシック" w:cs="游ゴシック" w:eastAsia="游ゴシック" w:hAnsi="游ゴシック"/>
          <w:i w:val="false"/>
          <w:iCs w:val="false"/>
          <w:sz w:val="21"/>
          <w:szCs w:val="21"/>
        </w:rPr>
        <w:t xml:space="preserve">令和9年3月：3月議会へ条例改正案を上程、可決後に公表</w:t>
      </w:r>
    </w:p>
    <w:p>
      <w:pPr>
        <w:spacing w:after="80" w:before="80" w:line="280"/>
        <w:ind w:left="288"/>
      </w:pPr>
      <w:r>
        <w:rPr>
          <w:rFonts w:ascii="游ゴシック" w:cs="游ゴシック" w:eastAsia="游ゴシック" w:hAnsi="游ゴシック"/>
          <w:i/>
          <w:iCs/>
          <w:sz w:val="19"/>
          <w:szCs w:val="19"/>
        </w:rPr>
        <w:t xml:space="preserve">⚠ 具体的な保険料試算結果は、国民健康保険団体連合会の給付実績、所得段階別被保険者数、調整交付金の交付実績、及び令和9年度の介護報酬改定の内容を踏まえ、第3回策定委員会（令和9年1月）で確定します。確定値の信頼性確保のため、地域包括ケア「見える化」システムへの登録と、宮城県・近隣町との比較を経て協議します。</w:t>
      </w:r>
    </w:p>
    <w:p>
      <w:pPr>
        <w:pageBreakBefore/>
        <w:spacing w:after="0" w:before="0" w:line="240"/>
      </w:pPr>
      <w:r>
        <w:rPr>
          <w:rFonts w:ascii="游ゴシック" w:cs="游ゴシック" w:eastAsia="游ゴシック" w:hAnsi="游ゴシック"/>
          <w:i w:val="false"/>
          <w:iCs w:val="false"/>
          <w:sz w:val="21"/>
          <w:szCs w:val="21"/>
        </w:rPr>
        <w:t xml:space="preserve"/>
      </w:r>
    </w:p>
    <w:p>
      <w:pPr>
        <w:spacing w:after="0" w:before="240" w:line="320"/>
      </w:pPr>
      <w:r>
        <w:rPr>
          <w:rFonts w:ascii="游ゴシック" w:cs="游ゴシック" w:eastAsia="游ゴシック" w:hAnsi="游ゴシック"/>
          <w:b w:val="1"/>
          <w:bCs w:val="1"/>
          <w:i w:val="false"/>
          <w:iCs w:val="false"/>
          <w:sz w:val="30"/>
          <w:szCs w:val="30"/>
        </w:rPr>
        <w:t xml:space="preserve">第 10 章</w:t>
      </w:r>
    </w:p>
    <w:p>
      <w:pPr>
        <w:spacing w:after="140" w:before="0" w:line="320"/>
      </w:pPr>
      <w:r>
        <w:rPr>
          <w:rFonts w:ascii="游ゴシック" w:cs="游ゴシック" w:eastAsia="游ゴシック" w:hAnsi="游ゴシック"/>
          <w:b w:val="1"/>
          <w:bCs w:val="1"/>
          <w:i w:val="false"/>
          <w:iCs w:val="false"/>
          <w:sz w:val="30"/>
          <w:szCs w:val="30"/>
        </w:rPr>
        <w:t xml:space="preserve">計画の推進体制と評価</w:t>
      </w:r>
    </w:p>
    <w:p>
      <w:pPr>
        <w:spacing w:after="200" w:before="200"/>
      </w:pPr>
      <w:r>
        <w:rPr>
          <w:rFonts w:ascii="游ゴシック" w:cs="游ゴシック" w:eastAsia="游ゴシック" w:hAnsi="游ゴシック"/>
          <w:i w:val="false"/>
          <w:iCs w:val="false"/>
          <w:sz w:val="21"/>
          <w:szCs w:val="21"/>
        </w:rPr>
        <w:t xml:space="preserve"/>
      </w:r>
    </w:p>
    <w:p>
      <w:pPr>
        <w:spacing w:after="80" w:before="50" w:line="320"/>
        <w:ind w:firstLine="200"/>
        <w:jc w:val="left"/>
      </w:pPr>
      <w:r>
        <w:rPr>
          <w:rFonts w:ascii="游ゴシック" w:cs="游ゴシック" w:eastAsia="游ゴシック" w:hAnsi="游ゴシック"/>
          <w:i w:val="false"/>
          <w:iCs w:val="false"/>
          <w:sz w:val="21"/>
          <w:szCs w:val="21"/>
        </w:rPr>
        <w:t xml:space="preserve">本計画を着実に推進し、その効果を最大化するため、推進体制・進行管理・評価の仕組みを以下のとおり整備します。</w:t>
      </w:r>
    </w:p>
    <w:p>
      <w:pPr>
        <w:spacing w:after="100" w:before="200" w:line="320"/>
      </w:pPr>
      <w:r>
        <w:rPr>
          <w:rFonts w:ascii="游ゴシック" w:cs="游ゴシック" w:eastAsia="游ゴシック" w:hAnsi="游ゴシック"/>
          <w:b w:val="1"/>
          <w:bCs w:val="1"/>
          <w:i w:val="false"/>
          <w:iCs w:val="false"/>
          <w:sz w:val="25"/>
          <w:szCs w:val="25"/>
        </w:rPr>
        <w:t xml:space="preserve">10-1　推進体制</w:t>
      </w:r>
    </w:p>
    <w:p>
      <w:pPr>
        <w:spacing w:after="80" w:before="180" w:line="300"/>
      </w:pPr>
      <w:r>
        <w:rPr>
          <w:rFonts w:ascii="游ゴシック" w:cs="游ゴシック" w:eastAsia="游ゴシック" w:hAnsi="游ゴシック"/>
          <w:b w:val="1"/>
          <w:bCs w:val="1"/>
          <w:i w:val="false"/>
          <w:iCs w:val="false"/>
          <w:sz w:val="22"/>
          <w:szCs w:val="22"/>
        </w:rPr>
        <w:t xml:space="preserve">　▌ 町の体制</w:t>
      </w:r>
    </w:p>
    <w:p>
      <w:pPr>
        <w:spacing w:after="80" w:before="50" w:line="320"/>
        <w:ind w:firstLine="200"/>
        <w:jc w:val="left"/>
      </w:pPr>
      <w:r>
        <w:rPr>
          <w:rFonts w:ascii="游ゴシック" w:cs="游ゴシック" w:eastAsia="游ゴシック" w:hAnsi="游ゴシック"/>
          <w:i w:val="false"/>
          <w:iCs w:val="false"/>
          <w:sz w:val="21"/>
          <w:szCs w:val="21"/>
        </w:rPr>
        <w:t xml:space="preserve">本計画は、川崎町保健福祉課（介護保険係）を主担当課とし、町関係課（地域振興課・町民生活課・財政課等）の連携のもとに推進します。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組織</w:t>
            </w:r>
          </w:p>
        </w:tc>
        <w:tc>
          <w:tcPr>
            <w:tcW w:type="pct" w:w="7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役割</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川崎町保健福祉課（介護保険係）</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計画の総合的推進、進行管理、介護保険事業の運営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地域振興課・町民生活課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移動支援（町民バス・デマンドバス）の所管との連携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川崎町地域包括支援センター（社協運営）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総合相談、介護予防ケアマネジメント、地域ケア会議の運営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国民健康保険川崎病院</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町内医療拠点としての在宅医療・介護連携、認知症診療</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川崎町社会福祉協議会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地域包括支援センター運営、福祉移送サービス、ユニバーサルサポーター制度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民生委員・町内会・サポーター</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地域見守り、ふれあいネットワーク活動、各種サポーター活動</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広域連携先（みやぎ県南中核病院・刈田綜合病院 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夜間救急・専門医療における広域連携</w:t>
            </w:r>
          </w:p>
        </w:tc>
      </w:tr>
    </w:tbl>
    <w:p>
      <w:pPr>
        <w:spacing w:after="100" w:before="200" w:line="320"/>
      </w:pPr>
      <w:r>
        <w:rPr>
          <w:rFonts w:ascii="游ゴシック" w:cs="游ゴシック" w:eastAsia="游ゴシック" w:hAnsi="游ゴシック"/>
          <w:b w:val="1"/>
          <w:bCs w:val="1"/>
          <w:i w:val="false"/>
          <w:iCs w:val="false"/>
          <w:sz w:val="25"/>
          <w:szCs w:val="25"/>
        </w:rPr>
        <w:t xml:space="preserve">10-2　進行管理（PDCAサイクル）</w:t>
      </w:r>
    </w:p>
    <w:p>
      <w:pPr>
        <w:spacing w:after="80" w:before="50" w:line="320"/>
        <w:ind w:firstLine="200"/>
        <w:jc w:val="left"/>
      </w:pPr>
      <w:r>
        <w:rPr>
          <w:rFonts w:ascii="游ゴシック" w:cs="游ゴシック" w:eastAsia="游ゴシック" w:hAnsi="游ゴシック"/>
          <w:i w:val="false"/>
          <w:iCs w:val="false"/>
          <w:sz w:val="21"/>
          <w:szCs w:val="21"/>
        </w:rPr>
        <w:t xml:space="preserve">本計画の進行管理は、計画（Plan）・実行（Do）・評価（Check）・改善（Action）のPDCAサイクルに基づき、毎年度の進捗を確認しながら推進します。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段階</w:t>
            </w:r>
          </w:p>
        </w:tc>
        <w:tc>
          <w:tcPr>
            <w:tcW w:type="pct"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実施内容</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時期</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Plan
（計画）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計画期間の事業計画・予算編成・KPI目標値設定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計画期間開始前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Do
（実行）</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各施策・事業の実施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計画期間中（通年）</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Check
（評価）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KPIの進捗確認、事業実績の評価、改善点の抽出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毎年度末</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Action
（改善）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評価結果を踏まえた次年度事業計画への反映</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次年度予算編成時</w:t>
            </w:r>
          </w:p>
        </w:tc>
      </w:tr>
    </w:tbl>
    <w:p>
      <w:pPr>
        <w:spacing w:after="100" w:before="200" w:line="320"/>
      </w:pPr>
      <w:r>
        <w:rPr>
          <w:rFonts w:ascii="游ゴシック" w:cs="游ゴシック" w:eastAsia="游ゴシック" w:hAnsi="游ゴシック"/>
          <w:b w:val="1"/>
          <w:bCs w:val="1"/>
          <w:i w:val="false"/>
          <w:iCs w:val="false"/>
          <w:sz w:val="25"/>
          <w:szCs w:val="25"/>
        </w:rPr>
        <w:t xml:space="preserve">10-3　計画の評価と見直し</w:t>
      </w:r>
    </w:p>
    <w:p>
      <w:pPr>
        <w:spacing w:after="80" w:before="180" w:line="300"/>
      </w:pPr>
      <w:r>
        <w:rPr>
          <w:rFonts w:ascii="游ゴシック" w:cs="游ゴシック" w:eastAsia="游ゴシック" w:hAnsi="游ゴシック"/>
          <w:b w:val="1"/>
          <w:bCs w:val="1"/>
          <w:i w:val="false"/>
          <w:iCs w:val="false"/>
          <w:sz w:val="22"/>
          <w:szCs w:val="22"/>
        </w:rPr>
        <w:t xml:space="preserve">　▌ 評価の仕組み</w:t>
      </w:r>
    </w:p>
    <w:p>
      <w:pPr>
        <w:spacing w:after="80" w:before="50" w:line="320"/>
        <w:ind w:firstLine="200"/>
        <w:jc w:val="left"/>
      </w:pPr>
      <w:r>
        <w:rPr>
          <w:rFonts w:ascii="游ゴシック" w:cs="游ゴシック" w:eastAsia="游ゴシック" w:hAnsi="游ゴシック"/>
          <w:i w:val="false"/>
          <w:iCs w:val="false"/>
          <w:sz w:val="21"/>
          <w:szCs w:val="21"/>
        </w:rPr>
        <w:t xml:space="preserve">計画の評価は以下の仕組みで実施します。</w:t>
      </w:r>
    </w:p>
    <w:p>
      <w:pPr>
        <w:spacing w:after="40" w:before="40" w:line="300"/>
        <w:ind w:left="431"/>
      </w:pPr>
      <w:r>
        <w:rPr>
          <w:rFonts w:ascii="游ゴシック" w:cs="游ゴシック" w:eastAsia="游ゴシック" w:hAnsi="游ゴシック"/>
          <w:i w:val="false"/>
          <w:iCs w:val="false"/>
          <w:sz w:val="21"/>
          <w:szCs w:val="21"/>
        </w:rPr>
        <w:t xml:space="preserve">①　</w:t>
      </w:r>
      <w:r>
        <w:rPr>
          <w:rFonts w:ascii="游ゴシック" w:cs="游ゴシック" w:eastAsia="游ゴシック" w:hAnsi="游ゴシック"/>
          <w:i w:val="false"/>
          <w:iCs w:val="false"/>
          <w:sz w:val="21"/>
          <w:szCs w:val="21"/>
        </w:rPr>
        <w:t xml:space="preserve">毎年度の進捗評価：保健福祉課が事業実績・KPI進捗を取りまとめ、町長へ報告</w:t>
      </w:r>
    </w:p>
    <w:p>
      <w:pPr>
        <w:spacing w:after="40" w:before="40" w:line="300"/>
        <w:ind w:left="431"/>
      </w:pPr>
      <w:r>
        <w:rPr>
          <w:rFonts w:ascii="游ゴシック" w:cs="游ゴシック" w:eastAsia="游ゴシック" w:hAnsi="游ゴシック"/>
          <w:i w:val="false"/>
          <w:iCs w:val="false"/>
          <w:sz w:val="21"/>
          <w:szCs w:val="21"/>
        </w:rPr>
        <w:t xml:space="preserve">②　中間評価：計画期間の中間年（R10年度）に、策定委員会または同等の組織で中間評価</w:t>
      </w:r>
      <w:r>
        <w:rPr>
          <w:rFonts w:ascii="游ゴシック" w:cs="游ゴシック" w:eastAsia="游ゴシック" w:hAnsi="游ゴシック"/>
          <w:i w:val="false"/>
          <w:iCs w:val="false"/>
          <w:sz w:val="21"/>
          <w:szCs w:val="21"/>
        </w:rPr>
        <w:t xml:space="preserve"/>
      </w:r>
    </w:p>
    <w:p>
      <w:pPr>
        <w:spacing w:after="40" w:before="40" w:line="300"/>
        <w:ind w:left="431"/>
      </w:pPr>
      <w:r>
        <w:rPr>
          <w:rFonts w:ascii="游ゴシック" w:cs="游ゴシック" w:eastAsia="游ゴシック" w:hAnsi="游ゴシック"/>
          <w:i w:val="false"/>
          <w:iCs w:val="false"/>
          <w:sz w:val="21"/>
          <w:szCs w:val="21"/>
        </w:rPr>
        <w:t xml:space="preserve">③　</w:t>
      </w:r>
      <w:r>
        <w:rPr>
          <w:rFonts w:ascii="游ゴシック" w:cs="游ゴシック" w:eastAsia="游ゴシック" w:hAnsi="游ゴシック"/>
          <w:i w:val="false"/>
          <w:iCs w:val="false"/>
          <w:sz w:val="21"/>
          <w:szCs w:val="21"/>
        </w:rPr>
        <w:t xml:space="preserve">計画期間終了時評価：第10期計画終了時（R11年度）に、第11期計画策定の基礎資料として総括評価</w:t>
      </w:r>
    </w:p>
    <w:p>
      <w:pPr>
        <w:spacing w:after="80" w:before="180" w:line="300"/>
      </w:pPr>
      <w:r>
        <w:rPr>
          <w:rFonts w:ascii="游ゴシック" w:cs="游ゴシック" w:eastAsia="游ゴシック" w:hAnsi="游ゴシック"/>
          <w:b w:val="1"/>
          <w:bCs w:val="1"/>
          <w:i w:val="false"/>
          <w:iCs w:val="false"/>
          <w:sz w:val="22"/>
          <w:szCs w:val="22"/>
        </w:rPr>
        <w:t xml:space="preserve">　▌ 計画の見直し</w:t>
      </w:r>
    </w:p>
    <w:p>
      <w:pPr>
        <w:spacing w:after="80" w:before="50" w:line="320"/>
        <w:ind w:firstLine="200"/>
        <w:jc w:val="left"/>
      </w:pPr>
      <w:r>
        <w:rPr>
          <w:rFonts w:ascii="游ゴシック" w:cs="游ゴシック" w:eastAsia="游ゴシック" w:hAnsi="游ゴシック"/>
          <w:i w:val="false"/>
          <w:iCs w:val="false"/>
          <w:sz w:val="21"/>
          <w:szCs w:val="21"/>
        </w:rPr>
        <w:t xml:space="preserve">計画期間中に、国の制度改正・大きな社会経済情勢の変化・町の重大な課題変化が生じた場合は、本計画の見直しを検討します。見直しの検討は策定委員会または同等の組織で行います。</w:t>
      </w:r>
    </w:p>
    <w:p>
      <w:pPr>
        <w:spacing w:after="80" w:before="180" w:line="300"/>
      </w:pPr>
      <w:r>
        <w:rPr>
          <w:rFonts w:ascii="游ゴシック" w:cs="游ゴシック" w:eastAsia="游ゴシック" w:hAnsi="游ゴシック"/>
          <w:b w:val="1"/>
          <w:bCs w:val="1"/>
          <w:i w:val="false"/>
          <w:iCs w:val="false"/>
          <w:sz w:val="22"/>
          <w:szCs w:val="22"/>
        </w:rPr>
        <w:t xml:space="preserve">　▌ 情報公開と住民参画</w:t>
      </w:r>
    </w:p>
    <w:p>
      <w:pPr>
        <w:spacing w:after="80" w:before="50" w:line="320"/>
        <w:ind w:firstLine="200"/>
        <w:jc w:val="left"/>
      </w:pPr>
      <w:r>
        <w:rPr>
          <w:rFonts w:ascii="游ゴシック" w:cs="游ゴシック" w:eastAsia="游ゴシック" w:hAnsi="游ゴシック"/>
          <w:i w:val="false"/>
          <w:iCs w:val="false"/>
          <w:sz w:val="21"/>
          <w:szCs w:val="21"/>
        </w:rPr>
        <w:t xml:space="preserve">本計画の推進状況は、町ホームページ・町広報誌等で住民に積極的に公開します。また、住民意見の継続的な反映のため、必要に応じてアンケート・地区説明会等を実施します。</w:t>
      </w:r>
    </w:p>
    <w:p>
      <w:pPr>
        <w:spacing w:after="100" w:before="200" w:line="320"/>
      </w:pPr>
      <w:r>
        <w:rPr>
          <w:rFonts w:ascii="游ゴシック" w:cs="游ゴシック" w:eastAsia="游ゴシック" w:hAnsi="游ゴシック"/>
          <w:b w:val="1"/>
          <w:bCs w:val="1"/>
          <w:i w:val="false"/>
          <w:iCs w:val="false"/>
          <w:sz w:val="25"/>
          <w:szCs w:val="25"/>
        </w:rPr>
        <w:t xml:space="preserve">10-4　KPI管理表</w:t>
      </w:r>
    </w:p>
    <w:p>
      <w:pPr>
        <w:spacing w:after="80" w:before="50" w:line="320"/>
        <w:ind w:firstLine="200"/>
        <w:jc w:val="left"/>
      </w:pPr>
      <w:r>
        <w:rPr>
          <w:rFonts w:ascii="游ゴシック" w:cs="游ゴシック" w:eastAsia="游ゴシック" w:hAnsi="游ゴシック"/>
          <w:i w:val="false"/>
          <w:iCs w:val="false"/>
          <w:sz w:val="21"/>
          <w:szCs w:val="21"/>
        </w:rPr>
        <w:t xml:space="preserve">第9期計画の「自立支援・重度化予防に向けた目標と指標」は6項目でしたが、集計担当・集計方法・集計頻度・出典が定められておらず、実績を確認できない指標が残りました。第10期では、すべての指標に次の7項目を付し、KPI管理表として一元的に管理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8"/>
        <w:gridCol w:w="152"/>
      </w:tblGrid>
      <w:tr>
        <w:tc>
          <w:tcPr>
            <w:tcW w:type="dxa" w:w="4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欄</w:t>
            </w:r>
          </w:p>
        </w:tc>
        <w:tc>
          <w:tcPr>
            <w:tcW w:type="dxa" w:w="1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内容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指標名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第9期から継続か新規かを明示する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区分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成果指標／活動指標／体制指標の別</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現状値</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令和7年度又は令和8年度の値。出典を固定する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目標値</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令和11年度の値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集計担当</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保健福祉課、地域包括支援センター、社会福祉協議会 等</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集計方法・頻度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年1回（策定委員会前）、決算後 等</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未把握の場合の対応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記録様式を整備する年度を明記する</w:t>
            </w:r>
          </w:p>
        </w:tc>
      </w:tr>
    </w:tbl>
    <w:p>
      <w:pPr>
        <w:spacing w:after="80" w:before="180" w:line="300"/>
      </w:pPr>
      <w:r>
        <w:rPr>
          <w:rFonts w:ascii="游ゴシック" w:cs="游ゴシック" w:eastAsia="游ゴシック" w:hAnsi="游ゴシック"/>
          <w:b w:val="1"/>
          <w:bCs w:val="1"/>
          <w:i w:val="false"/>
          <w:iCs w:val="false"/>
          <w:sz w:val="22"/>
          <w:szCs w:val="22"/>
        </w:rPr>
        <w:t xml:space="preserve">　▌ KPIの3階層</w:t>
      </w:r>
    </w:p>
    <w:p>
      <w:pPr>
        <w:spacing w:after="80" w:before="50" w:line="320"/>
        <w:ind w:firstLine="200"/>
        <w:jc w:val="left"/>
      </w:pPr>
      <w:r>
        <w:rPr>
          <w:rFonts w:ascii="游ゴシック" w:cs="游ゴシック" w:eastAsia="游ゴシック" w:hAnsi="游ゴシック"/>
          <w:i w:val="false"/>
          <w:iCs w:val="false"/>
          <w:sz w:val="21"/>
          <w:szCs w:val="21"/>
        </w:rPr>
        <w:t xml:space="preserve">指標は、成果指標・活動指標・体制指標の3階層に整理します。活動量だけを追うと、事業を実施したこと自体が目的化します。住民の状態がどう変わったか（成果指標）を最上位に置き、それを支える活動量（活動指標）と、仕組みが整っているか（体制指標）を並べて管理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2"/>
        <w:gridCol w:w="102"/>
        <w:gridCol w:w="156"/>
      </w:tblGrid>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階層</w:t>
            </w:r>
          </w:p>
        </w:tc>
        <w:tc>
          <w:tcPr>
            <w:tcW w:type="dxa" w:w="10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内容</w:t>
            </w:r>
          </w:p>
        </w:tc>
        <w:tc>
          <w:tcPr>
            <w:tcW w:type="dxa" w:w="1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指標の例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成果指標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住民の状態の変化。最終的に目指すもの</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調整済み認定率、通いの場への参加率、外出を控えている高齢者の割合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活動指標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町・関係機関の活動量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地域ケア会議での個別事例の協議件数、介護予防事業の参加者数、認知症サポーター養成数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体制指標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仕組みが整っているか。第10期の新規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計画値と実績値の乖離のモニタリングと公表、評価結果の計画への反映と公表、事業所ヒアリングの実施</w:t>
            </w:r>
          </w:p>
        </w:tc>
      </w:tr>
    </w:tbl>
    <w:p>
      <w:pPr>
        <w:spacing w:after="80" w:before="180" w:line="300"/>
      </w:pPr>
      <w:r>
        <w:rPr>
          <w:rFonts w:ascii="游ゴシック" w:cs="游ゴシック" w:eastAsia="游ゴシック" w:hAnsi="游ゴシック"/>
          <w:b w:val="1"/>
          <w:bCs w:val="1"/>
          <w:i w:val="false"/>
          <w:iCs w:val="false"/>
          <w:sz w:val="22"/>
          <w:szCs w:val="22"/>
        </w:rPr>
        <w:t xml:space="preserve">　▌ 主要指標の管理表</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
        <w:gridCol w:w="40"/>
        <w:gridCol w:w="110"/>
        <w:gridCol w:w="80"/>
        <w:gridCol w:w="120"/>
      </w:tblGrid>
      <w:tr>
        <w:tc>
          <w:tcPr>
            <w:tcW w:type="dxa" w:w="1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指標</w:t>
            </w:r>
          </w:p>
        </w:tc>
        <w:tc>
          <w:tcPr>
            <w:tcW w:type="dxa" w:w="4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区分</w:t>
            </w:r>
          </w:p>
        </w:tc>
        <w:tc>
          <w:tcPr>
            <w:tcW w:type="dxa" w:w="1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現状値</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目標値（R11）</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集計担当／方法・頻度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通いの場への参加率（65歳以上）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成果</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15.9％（n=439）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【委員会協議】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保健福祉課／次期ニーズ調査</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外出を控えている高齢者の割合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成果</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19.1％（n=540）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減少</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保健福祉課／次期ニーズ調査</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認知症相談窓口を知っている人の割合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成果</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47.7％（n=547）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増加</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保健福祉課／次期ニーズ調査</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調整済み認定率（要介護2以上）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成果</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11.83％（令和7年・全国1,666位）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【委員会協議】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保健福祉課／見える化システム・年1回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要介護1・2の平均要介護度の伸び</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成果</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0.9495（全国1,580位）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【委員会協議】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保健福祉課／見える化システム・年1回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自立支援型地域ケア会議での個別事例の協議件数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活動</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【町確認】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年12件以上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地域包括支援センター／会議記録・年1回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介護予防事業の参加者数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活動</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【町確認】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【委員会協議】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保健福祉課／事業実績・年1回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認知症サポーターの累計養成数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活動</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550名（累計642名とする資料もあり確認中）</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【委員会協議】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保健福祉課／養成講座記録・年1回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生活支援コーディネーター数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活動</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25名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現状維持以上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社会福祉協議会／年1回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計画値と実績値の乖離のモニタリングと公表</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体制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未実施</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毎年度実施・公表</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保健福祉課／対比表・年1回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評価結果の計画への反映と公表</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体制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未実施</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毎年度実施・公表</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保健福祉課／年1回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事業所ヒアリングの実施</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体制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未実施</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年1回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保健福祉課／年1回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医療情報との突合の実施</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体制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【町確認】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実施</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保健福祉課／国保連・年1回</w:t>
            </w:r>
          </w:p>
        </w:tc>
      </w:tr>
    </w:tbl>
    <w:p>
      <w:pPr>
        <w:spacing w:after="80" w:before="80" w:line="280"/>
        <w:ind w:left="288"/>
      </w:pPr>
      <w:r>
        <w:rPr>
          <w:rFonts w:ascii="游ゴシック" w:cs="游ゴシック" w:eastAsia="游ゴシック" w:hAnsi="游ゴシック"/>
          <w:i/>
          <w:iCs/>
          <w:sz w:val="19"/>
          <w:szCs w:val="19"/>
        </w:rPr>
        <w:t xml:space="preserve">⚠ 現状値の【町確認】は第9期実績一覧のご記入（確認事項No.8・34）により確定します。集計担当・集計方法・頻度は町のご確認が必要です（確認事項No.70）。目標値は策定委員会での協議事項です。</w:t>
      </w:r>
    </w:p>
    <w:p>
      <w:pPr>
        <w:spacing w:after="80" w:before="80" w:line="280"/>
        <w:ind w:left="288"/>
      </w:pPr>
      <w:r>
        <w:rPr>
          <w:rFonts w:ascii="游ゴシック" w:cs="游ゴシック" w:eastAsia="游ゴシック" w:hAnsi="游ゴシック"/>
          <w:b w:val="1"/>
          <w:bCs w:val="1"/>
          <w:i w:val="false"/>
          <w:iCs w:val="false"/>
          <w:sz w:val="20"/>
          <w:szCs w:val="20"/>
        </w:rPr>
        <w:t xml:space="preserve">● KPI管理表の整備は、保険者機能強化推進交付金の「評価結果の活用」（令和8年度 16点→0点）の回復に直接対応する。指標を並べるだけでなく、集計担当と頻度を固定することが要件である。</w:t>
      </w:r>
    </w:p>
    <w:p>
      <w:pPr>
        <w:spacing w:after="80" w:before="180" w:line="300"/>
      </w:pPr>
      <w:r>
        <w:rPr>
          <w:rFonts w:ascii="游ゴシック" w:cs="游ゴシック" w:eastAsia="游ゴシック" w:hAnsi="游ゴシック"/>
          <w:b w:val="1"/>
          <w:bCs w:val="1"/>
          <w:i w:val="false"/>
          <w:iCs w:val="false"/>
          <w:sz w:val="22"/>
          <w:szCs w:val="22"/>
        </w:rPr>
        <w:t xml:space="preserve">　▌ 交付金の失点の回復管理</w:t>
      </w:r>
    </w:p>
    <w:p>
      <w:pPr>
        <w:spacing w:after="80" w:before="50" w:line="320"/>
        <w:ind w:firstLine="200"/>
        <w:jc w:val="left"/>
      </w:pPr>
      <w:r>
        <w:rPr>
          <w:rFonts w:ascii="游ゴシック" w:cs="游ゴシック" w:eastAsia="游ゴシック" w:hAnsi="游ゴシック"/>
          <w:i w:val="false"/>
          <w:iCs w:val="false"/>
          <w:sz w:val="21"/>
          <w:szCs w:val="21"/>
        </w:rPr>
        <w:t xml:space="preserve">第3章3-3で特定した交付金の失点のうち、体制・取組指標群の3か所27点は、新たな事業も予算も要さず、仕組みを定めて実施することで得点できます。KPI管理表の体制指標として、次のとおり管理します。活動指標群のうち町の取組により直接動かせる2項目も併せて掲げ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
        <w:gridCol w:w="64"/>
        <w:gridCol w:w="104"/>
        <w:gridCol w:w="112"/>
      </w:tblGrid>
      <w:tr>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交付金の評価項目（配点）</w:t>
            </w:r>
          </w:p>
        </w:tc>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現状</w:t>
            </w:r>
          </w:p>
        </w:tc>
        <w:tc>
          <w:tcPr>
            <w:tcW w:type="dxa" w:w="10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第10期の目標</w:t>
            </w:r>
          </w:p>
        </w:tc>
        <w:tc>
          <w:tcPr>
            <w:tcW w:type="dxa" w:w="11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本計画での位置／集計担当</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評価結果の活用　ア　庁内で共有する場（4点）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0点（令和7年度は4点）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年1回以上開催</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8-4①／保健福祉課・年1回</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同　イ　庁外の関係者の参画（4点）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0点（令和7年度は4点）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策定委員会等に議題として報告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8-4②／保健福祉課・年1回</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同　ウ　意見の施策への反映（4点）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0点（令和7年度は4点）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翌年度の予算編成に反映</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8-4③／保健福祉課・年1回</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同　エ　評価結果の公表（4点）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0点（令和7年度は4点）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小項目ごとの得点まで公表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8-4④／保健福祉課・年1回</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給付費適正化事業　ア　3事業の全てを実施（6点）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0点（要確認）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3事業すべてを実施し、該当状況調査で「実施」と回答</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8-2／保健福祉課・年1回</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認知症　カ　計画の策定に着手（5点）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0点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意見を反映させる仕組みを整えたうえで策定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6-1①／保健福祉課・地域包括支援センター</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【小計】体制・取組指標群の失点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27点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27点の回復</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後期高齢者数と給付費の伸び率の比較（12点）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0点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様式を定めて毎年度比較し公表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8-3③／保健福祉課・年1回</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生活支援コーディネーターの地域ケア会議への参加割合（4点）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0点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出席を運用で確保する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5-4第2節／社会福祉協議会・年1回</w:t>
            </w:r>
          </w:p>
        </w:tc>
      </w:tr>
    </w:tbl>
    <w:p>
      <w:pPr>
        <w:spacing w:after="80" w:before="50" w:line="320"/>
        <w:ind w:firstLine="200"/>
        <w:jc w:val="left"/>
      </w:pPr>
      <w:r>
        <w:rPr>
          <w:rFonts w:ascii="游ゴシック" w:cs="游ゴシック" w:eastAsia="游ゴシック" w:hAnsi="游ゴシック"/>
          <w:i w:val="false"/>
          <w:iCs w:val="false"/>
          <w:sz w:val="21"/>
          <w:szCs w:val="21"/>
        </w:rPr>
        <w:t xml:space="preserve">⚠ 交付金の得点は、交付額に直接に換算できません。保険者機能強化推進交付金及び介護保険保険者努力支援交付金の交付額は、固定の単価によるものではなく、各保険者の評価得点に第1号被保険者数を乗じた値を用いて、国全体の予算額を全保険者で按分して算定されます。したがって、本町の得点が上がっても、同時に他の保険者の得点が上がれば交付額は増えないことがあります。本計画では、得点の回復を「増額の可能性がある」ものとして扱い、金額の見込みは立てていません。第9章9-1の保険料算定における交付金の取扱いも、令和8年度の交付実績を据え置いています（確認事項No.39）。</w:t>
      </w:r>
    </w:p>
    <w:p>
      <w:pPr>
        <w:spacing w:after="80" w:before="50" w:line="320"/>
        <w:ind w:firstLine="200"/>
        <w:jc w:val="left"/>
      </w:pPr>
      <w:r>
        <w:rPr>
          <w:rFonts w:ascii="游ゴシック" w:cs="游ゴシック" w:eastAsia="游ゴシック" w:hAnsi="游ゴシック"/>
          <w:i w:val="false"/>
          <w:iCs w:val="false"/>
          <w:sz w:val="21"/>
          <w:szCs w:val="21"/>
        </w:rPr>
        <w:t xml:space="preserve">⚠ 「給付費適正化事業 ア」の現状は、3事業のいずれかが未実施なのか、実施していても国の該当状況調査で「実施」と回答していないのかを確認中です（確認事項No.127）。「PFS委託事業数」（12点）と「短期的な要介護度の変化」（40点）は、3-3に記したとおり本計画では追わない／一部取得を目標とするものであり、本表には掲げていません。</w:t>
      </w:r>
    </w:p>
    <w:p>
      <w:pPr>
        <w:spacing w:after="80" w:before="50" w:line="320"/>
        <w:ind w:firstLine="200"/>
        <w:jc w:val="left"/>
      </w:pPr>
      <w:r>
        <w:rPr>
          <w:rFonts w:ascii="游ゴシック" w:cs="游ゴシック" w:eastAsia="游ゴシック" w:hAnsi="游ゴシック"/>
          <w:i w:val="false"/>
          <w:iCs w:val="false"/>
          <w:sz w:val="21"/>
          <w:szCs w:val="21"/>
        </w:rPr>
        <w:t xml:space="preserve">第9期計画のKPIのうち、現時点で現状値が確定しているのは調査により把握できる3指標（通いの場への参加率、外出を控えている割合、認知症相談窓口の認知度）です。「移動支援3制度の周知度」と「認知症の人と家族の地域生活満足度」は今回の調査に該当する設問がないため、代替指標への変更か次期調査での設問化を第2回策定委員会でお諮りします。</w:t>
      </w:r>
    </w:p>
    <w:p>
      <w:pPr>
        <w:spacing w:after="80" w:before="80"/>
      </w:pPr>
      <w:r>
        <w:rPr>
          <w:rFonts w:ascii="游ゴシック" w:cs="游ゴシック" w:eastAsia="游ゴシック" w:hAnsi="游ゴシック"/>
          <w:i w:val="false"/>
          <w:iCs w:val="false"/>
          <w:sz w:val="21"/>
          <w:szCs w:val="21"/>
        </w:rPr>
        <w:t xml:space="preserve"/>
      </w:r>
    </w:p>
    <w:p>
      <w:pPr>
        <w:spacing w:after="80" w:before="80"/>
      </w:pPr>
      <w:r>
        <w:rPr>
          <w:rFonts w:ascii="游ゴシック" w:cs="游ゴシック" w:eastAsia="游ゴシック" w:hAnsi="游ゴシック"/>
          <w:i w:val="false"/>
          <w:iCs w:val="false"/>
          <w:sz w:val="21"/>
          <w:szCs w:val="21"/>
        </w:rPr>
        <w:t xml:space="preserve"/>
      </w:r>
    </w:p>
    <w:p>
      <w:pPr>
        <w:spacing w:after="240" w:before="480" w:line="360"/>
        <w:jc w:val="center"/>
      </w:pPr>
      <w:r>
        <w:rPr>
          <w:rFonts w:ascii="游ゴシック" w:cs="游ゴシック" w:eastAsia="游ゴシック" w:hAnsi="游ゴシック"/>
          <w:b w:val="1"/>
          <w:bCs w:val="1"/>
          <w:i w:val="false"/>
          <w:iCs w:val="false"/>
          <w:sz w:val="22"/>
          <w:szCs w:val="22"/>
        </w:rPr>
        <w:t xml:space="preserve">─ 本素案 Ver.1.13 結 ─</w:t>
      </w:r>
    </w:p>
    <w:p>
      <w:pPr>
        <w:spacing w:after="80" w:before="80"/>
      </w:pPr>
      <w:r>
        <w:rPr>
          <w:rFonts w:ascii="游ゴシック" w:cs="游ゴシック" w:eastAsia="游ゴシック" w:hAnsi="游ゴシック"/>
          <w:i w:val="false"/>
          <w:iCs w:val="false"/>
          <w:sz w:val="21"/>
          <w:szCs w:val="21"/>
        </w:rPr>
        <w:t xml:space="preserve"/>
      </w:r>
    </w:p>
    <w:p>
      <w:pPr>
        <w:spacing w:after="80" w:before="50" w:line="320"/>
        <w:jc w:val="center"/>
      </w:pPr>
      <w:r>
        <w:rPr>
          <w:rFonts w:ascii="游ゴシック" w:cs="游ゴシック" w:eastAsia="游ゴシック" w:hAnsi="游ゴシック"/>
          <w:b w:val="1"/>
          <w:bCs w:val="1"/>
          <w:i/>
          <w:iCs/>
          <w:sz w:val="18"/>
          <w:szCs w:val="18"/>
        </w:rPr>
        <w:t xml:space="preserve">本素案Ver.1.25は、第9期の事業実績（町ご記入分）、関連施策評価調査の結果、事業所ヒアリングの結果、及び国通知の確認を経て、Ver.2.0として更新します。Ver.2.0は令和8年11月の第2回策定委員会で計画骨子（素案）として審議いただく予定です。第9章に掲載した保険料の試算値は、第3回策定委員会（令和9年1月）で確定値に置き換えます。</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游ゴシック" w:cs="游ゴシック" w:eastAsia="游ゴシック" w:hAnsi="游ゴシック"/>
        <w:color w:val="595959"/>
        <w:sz w:val="16"/>
        <w:szCs w:val="16"/>
      </w:rPr>
      <w:t xml:space="preserve">─ </w:t>
    </w:r>
    <w:r>
      <w:rPr>
        <w:rFonts w:ascii="游ゴシック" w:cs="游ゴシック" w:eastAsia="游ゴシック" w:hAnsi="游ゴシック"/>
        <w:color w:val="595959"/>
        <w:sz w:val="16"/>
        <w:szCs w:val="16"/>
      </w:rPr>
      <w:fldChar w:fldCharType="begin"/>
      <w:instrText xml:space="preserve">PAGE</w:instrText>
      <w:fldChar w:fldCharType="separate"/>
      <w:fldChar w:fldCharType="end"/>
    </w:r>
    <w:r>
      <w:rPr>
        <w:rFonts w:ascii="游ゴシック" w:cs="游ゴシック" w:eastAsia="游ゴシック" w:hAnsi="游ゴシック"/>
        <w:color w:val="595959"/>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游ゴシック" w:cs="游ゴシック" w:eastAsia="游ゴシック" w:hAnsi="游ゴシック"/>
        <w:color w:val="595959"/>
        <w:sz w:val="16"/>
        <w:szCs w:val="16"/>
      </w:rPr>
      <w:t xml:space="preserve">川崎町高齢者保健福祉計画・第10期介護保険事業計画　計画書素案v1.0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游ゴシック" w:cs="游ゴシック" w:eastAsia="游ゴシック" w:hAnsi="游ゴシック"/>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70418a61617a21e2d472e47e172e71f16ae9a3c.png"/><Relationship Id="rId10" Type="http://schemas.openxmlformats.org/officeDocument/2006/relationships/image" Target="media/3d908537ad6af085f924a88cd75159a469dfe3ae.png"/><Relationship Id="rId11" Type="http://schemas.openxmlformats.org/officeDocument/2006/relationships/image" Target="media/734ec60ebb12cf6936fb50f9ddeb2807bb5834b7.png"/><Relationship Id="rId12" Type="http://schemas.openxmlformats.org/officeDocument/2006/relationships/image" Target="media/5a962bfacd77afd36ebbbec2150668990cd47f90.png"/><Relationship Id="rId13" Type="http://schemas.openxmlformats.org/officeDocument/2006/relationships/image" Target="media/4f6b614b6ec81cf85ded5f1273a7644440d52e3e.png"/><Relationship Id="rId14" Type="http://schemas.openxmlformats.org/officeDocument/2006/relationships/image" Target="media/60135321dc38607023c12bbad6e739ab163ab04a.png"/><Relationship Id="rId15"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川崎町第10期介護保険事業計画 計画書素案v1.0</dc:title>
  <dc:creator>ビズアップ公共コンサルティング株式会社</dc:creator>
  <dc:description>川崎町高齢者保健福祉計画・第10期介護保険事業計画 計画書素案</dc:description>
  <cp:lastModifiedBy>Un-named</cp:lastModifiedBy>
  <cp:revision>1</cp:revision>
  <dcterms:created xsi:type="dcterms:W3CDTF">2026-06-29T06:49:34.837Z</dcterms:created>
  <dcterms:modified xsi:type="dcterms:W3CDTF">2026-06-29T06:49:34.837Z</dcterms:modified>
</cp:coreProperties>
</file>

<file path=docProps/custom.xml><?xml version="1.0" encoding="utf-8"?>
<Properties xmlns="http://schemas.openxmlformats.org/officeDocument/2006/custom-properties" xmlns:vt="http://schemas.openxmlformats.org/officeDocument/2006/docPropsVTypes"/>
</file>