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Ver.2.6</w:t>
      </w:r>
    </w:p>
    <w:p>
      <w:pPr>
        <w:spacing w:after="80" w:before="80"/>
        <w:jc w:val="center"/>
      </w:pPr>
      <w:r>
        <w:rPr>
          <w:rFonts w:ascii="游ゴシック" w:cs="游ゴシック" w:eastAsia="游ゴシック" w:hAnsi="游ゴシック"/>
          <w:b w:val="false"/>
          <w:bCs w:val="false"/>
          <w:i/>
          <w:iCs/>
          <w:sz w:val="18"/>
          <w:szCs w:val="18"/>
        </w:rPr>
        <w:t xml:space="preserve">（図表整理版）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100</w:t>
            </w:r>
          </w:p>
        </w:tc>
      </w:tr>
    </w:tbl>
    <w:p>
      <w:pPr>
        <w:spacing w:after="80" w:before="80" w:line="280"/>
        <w:ind w:left="288"/>
      </w:pPr>
      <w:r>
        <w:rPr>
          <w:rFonts w:ascii="游ゴシック" w:cs="游ゴシック" w:eastAsia="游ゴシック" w:hAnsi="游ゴシック"/>
          <w:i/>
          <w:iCs/>
          <w:sz w:val="20"/>
          <w:szCs w:val="20"/>
        </w:rPr>
        <w:t xml:space="preserve">⚠ 頁番号は、本素案Ver.2.6の組版によるものです。図表の差替え・加筆により頁の割付けが動いた場合は、目次の頁番号も併せて更新します。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2.6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選択1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2-7・7-1・9-1。入所率・稼働率は2施設への照会による（確認事項No.29・No.159）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当社の作業環境のネットワーク制限により厚生労働省のウェブサイトを参照できないため、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生活困窮者自立支援及び生活保護部会（第30回）資料2・令和8年7月17日、介護保険最新情報Vol.1525・令和8年7月14日）との照合を町にお願いしています（確認事項No.151〜153）。</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3,270人（令和6年度）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30" w:line="260"/>
        <w:jc w:val="right"/>
      </w:pPr>
      <w:r>
        <w:rPr>
          <w:rFonts w:ascii="游ゴシック" w:cs="游ゴシック" w:eastAsia="游ゴシック" w:hAnsi="游ゴシック"/>
          <w:i/>
          <w:iCs/>
          <w:sz w:val="20"/>
          <w:szCs w:val="20"/>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855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柱5）と地域マネジメント（柱7）を除く5つの柱の施策を、施策の方向性・事業の一覧・成果指標（KPI）の3層で整理します。事業は、別冊「施策・事業の体系（Ｃ案）」の節・項の単位で掲げており、本章に106事業を収めています。認知症施策（柱5・28事業）は第6章、地域マネジメント（柱7・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本表の組み替えは本版（Ver.2.0）で行いました。第9期の6つの基本方針・本素案Ver.1.25までの6つの基本目標と、第10期の7つの柱との対応は第4章の表をご参照ください。体系（Ｃ案）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体系（案）にない施策。素案5-3「広域医療連携【重点】」を移設。通院の移動・付添に係る家族負担が大きく、移動支援（第3章）と一体で検討する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第1章第1節2(3)）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体系（案）にない施策。8050問題・ヤングケアラー・ダブルケア等の複合的な課題を抱える世帯への包括的支援。地域福祉計画・障害者計画はジャパン総研が策定担当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第2節1(5)）への出席を運用で確保すれば得点できる。同規模かつ過疎地域の285保険者のうち161件（56.5％）が満点を取っており、0点9指標のなかで最も取りやすい（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柱7 2（介護費用適正化の推進）と一体で運用する。令和8年度に落ちた項目を確認中【町確認】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（７）地域密着型介護老人福祉施設入居者生活介護（小規模特別養護老人ホーム）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重層的支援体制整備事業との連動、成年後見制度の利用促進、日常生活自立支援事業、移送サービスを共通の論点として整理する（両計画はジャパン総研が策定）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を2つ入れ替えました。Ver.2.1までは「認知症の人と家族の地域生活満足度」を掲げていましたが、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別冊「施策・事業の体系（Ｃ案）」の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章17節37項143事業）は第2回策定委員会の選択1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本人ミーティング（Ver.2.1で新規事業として計上済み）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チームオレンジの活動支援（Ver.2.1で拡充事業として計上済み）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選択1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別冊「施策・事業の体系（Ｃ案）」の柱7（地域マネジメントに関する事項）の9事業と、本章及び第7章の節との対応は次のとおりです。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体系（案）にない施策。7に含めるか8として立てるかを確認中（確認事項No.108）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実：住所地特例該当者24人（令和7年6月時点）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体系（案）にない施策。町外施設（柴田町・大河原町・仙台市等）への依存が常態化しており、所在自治体内訳の把握を見込量算定と広域連携の根拠とする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柱7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bl>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
        <w:gridCol w:w="80"/>
        <w:gridCol w:w="120"/>
        <w:gridCol w:w="120"/>
        <w:gridCol w:w="50"/>
      </w:tblGrid>
      <w:tr>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実績（令和6年度→令和7年度）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見込量0。整備の予定を第2回策定委員会で確認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見込量0。認知症施策としては継続の位置付けとし、供給がない場合は近隣市町村の事業所の利用を支援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見込量0。第2章2-3の事業所一覧と突き合わせる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見込量0。介護療養型医療施設は令和5年度末（令和6年3月31日）で廃止済み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No.71</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選択1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