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Ver.2.9</w:t>
      </w:r>
    </w:p>
    <w:p>
      <w:pPr>
        <w:spacing w:after="80" w:before="80"/>
        <w:jc w:val="center"/>
      </w:pPr>
      <w:r>
        <w:rPr>
          <w:rFonts w:ascii="游ゴシック" w:cs="游ゴシック" w:eastAsia="游ゴシック" w:hAnsi="游ゴシック"/>
          <w:b w:val="false"/>
          <w:bCs w:val="false"/>
          <w:i/>
          <w:iCs/>
          <w:sz w:val="18"/>
          <w:szCs w:val="18"/>
        </w:rPr>
        <w:t xml:space="preserve">（事業内容版）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108</w:t>
            </w:r>
          </w:p>
        </w:tc>
      </w:tr>
    </w:tbl>
    <w:p>
      <w:pPr>
        <w:spacing w:after="80" w:before="80" w:line="280"/>
        <w:ind w:left="288"/>
      </w:pPr>
      <w:r>
        <w:rPr>
          <w:rFonts w:ascii="游ゴシック" w:cs="游ゴシック" w:eastAsia="游ゴシック" w:hAnsi="游ゴシック"/>
          <w:i/>
          <w:iCs/>
          <w:sz w:val="20"/>
          <w:szCs w:val="20"/>
        </w:rPr>
        <w:t xml:space="preserve">⚠ 頁番号は、本素案Ver.2.9の組版によるものです。図表の差替え・加筆により頁の割付けが動いた場合は、目次の頁番号も併せて更新します。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 xml:space="preserve">※本素案Ver.2.9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の章立てを基本とし認知症施策のみを独立章に引き上げるＣ案により、全7章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選択1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2-7・7-1・9-1。入所率・稼働率は2施設への照会による（確認事項No.29・No.159）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第6章6-1〜6-4。認知症の人の数は認定調査の日常生活自立度Ⅱ以上により把握する（確認事項No.157）。認知症疾患医療センター・認知症サポート医は確認事項No.138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当社の作業環境のネットワーク制限により厚生労働省のウェブサイトを参照できないため、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生活困窮者自立支援及び生活保護部会（第30回）資料2・令和8年7月17日、介護保険最新情報Vol.1525・令和8年7月14日）との照合を町にお願いしています（確認事項No.151〜153）。</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3,270人（令和6年度）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xml:space="preserve">⚠ 7地区ごとの人口・高齢化率・要介護認定者数・サービス利用状況、及び各事業所が運営規程で定める通常の事業実施地域は、町からのご提供及び事業所ヒアリングにより把握します（確認事項No.29・No.111）。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30" w:line="260"/>
        <w:jc w:val="right"/>
      </w:pPr>
      <w:r>
        <w:rPr>
          <w:rFonts w:ascii="游ゴシック" w:cs="游ゴシック" w:eastAsia="游ゴシック" w:hAnsi="游ゴシック"/>
          <w:i/>
          <w:iCs/>
          <w:sz w:val="20"/>
          <w:szCs w:val="20"/>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本節に掲載する供給側のデータは次のとおり整理します。現時点では町からのご提供及び事業所ヒアリングを待つ項目が多く、事業所ヒアリング（確認事項No.29・No.50・No.51）の結果を受けて確定します。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xml:space="preserve">⚠ 本節の数値は、第1回策定委員会での委員のご発言に基づくものです。事業所ヒアリング（令和8年9〜10月・確認事項No.50・No.51）により事実関係を確認のうえ確定します。確認が取れない数値及び特定の事業所が識別され得る数値は、計画書（案）には掲載しません。</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855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本素案Ver.1.22・Ver.1.23の「0点となった9指標」には含まれていませんでした。枝番の単位まで下ろして評価指標の本文と突き合わせたことにより、新たに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本計画の基本理念・施策の体系は以下のとおりです。柱ごとの節・項・事業の全体像は、別冊「施策・事業の体系（Ｃ案）」（全7章17節37項143事業）に収録しています。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柱5）と地域マネジメント（柱7）を除く5つの柱の施策を、施策の方向性・事業の一覧・成果指標（KPI）の3層で整理します。事業は、別冊「施策・事業の体系（Ｃ案）」の節・項の単位で掲げており、本章に106事業を収めています。認知症施策（柱5・28事業）は第6章、地域マネジメント（柱7・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本表の組み替えは本版（Ver.2.0）で行いました。第9期の6つの基本方針・本素案Ver.1.25までの6つの基本目標と、第10期の7つの柱との対応は第4章の表をご参照ください。体系（Ｃ案）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高齢者を対象に、広報や各種検診後の指導・相談を通じて、健康づくりに関しての正しい知識の普及・啓発に取り組みます。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健康推進員・食生活改善推進員などの住民組織と協働し、地区ごとの健康づくりの活動を進めます。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高齢者の抱える様々な健康問題について、いつでも健康相談が受けられる体制を充実します。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町立病院の役割を強化し、患者の医療需要に応じた医療内容の充実に努めていきます。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高齢者の日常的な診療や健康管理を行う「かかりつけ医」制度の普及を図ります。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体系（案）にない施策。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早期発見による早期治療と病状の悪化防止に結びつけるため、胃がん、肺がん、大腸がん等の各種がん検診を実施します。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保健福祉課の窓口で、心身の健康に関する一般的な事項について、総合的な相談を実施し、適切な指導・助言を行います。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体系（案）にない施策。素案5-3「広域医療連携【重点】」を移設。通院の移動・付添に係る家族負担が大きく、移動支援（第3章）と一体で検討する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新設する町の公共施設については、高齢者や障がい者等が利用しやすいようユニバーサルデザインに配慮した整備を推進します。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予約に応じて運行する乗合タクシーにより、路線によらない移動の手段を確保します。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バス会社の運行による町民バスにより、地区と町の中心部を結ぶ移動の手段を確保します。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おおむね65歳以上の高齢者に、各種施設や公民館などで会合を行う際の昼食代の一部を助成します。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老人クラブが行う各種活動（生きがい・健康づくり、地域に対する奉仕・貢献その他の活動）に対し助成を行います。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町内の各地区で高齢者の交流の場となるよう敬老会の開催を支援します。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88歳、99歳及び100歳の高齢者に対し、「敬老祝い金」を支給します。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活動員15名・協力員130名（計145名）による見守りの網により、独居高齢者・高齢者世帯の安否の確認と声かけを行います。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社会福祉協議会と協力し、地区ボランティアの育成と資質の向上を図ります。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重層的支援体制整備事業（第4章第2節1(8)）に接続</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重層的支援体制整備事業（第4章第2節1(8)）に接続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素案に記載がなかった事業。「通いの場」型の施策だけでは届かない層に対する世代間交流の視点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高齢者の多様な生涯学習のニーズに対応するため、シニア大学の開催など生涯学習の充実を図ります。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高齢者を対象としたストレッチなどの健康づくり教室、スポーツ教室、転倒予防のための運動教室を開催します。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素案に記載がなかった事業。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事業」「包括的・継続的マネジメント事業」「総合相談支援事業」「高齢者虐待の防止・権利擁護事業（成年後見制度を含む）及び早期発見」の４つの事業を推進していきます。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事業では、チェックリストに該当した総合事業対象者や要支援者等に対する介護予防、重度化防止の支援を行っています。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総合事業のサービスの利用者負担が一定の額を超えた場合に、超えた分を支給します。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基本チェックリスト等により、介護予防の支援を要する方を把握し、必要な事業につなぎます。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身近な場所に地域の支え合いの拠点を設け、介護予防と交流の場として運営を支援します。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14種別約400名の町独自のサポーター制度により、住民主体の介護予防・生活支援・見守りの活動を進めます。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介護予防の活動やボランティアへの参加にポイントを付与し、参加を促します。交付金 支援 目標Ⅰで県内1位の取組です。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介護支援専門員への助言・指導、地域ケア会議の開催等により、包括的・継続的なケアマネジメントを支援します。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地域包括支援センターにおいて、高齢者虐待の相談や通報に迅速に対応するとともに関係機関と連携し早期解決に努めます。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体系（案）にない施策。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柱72（介護費用適正化の推進）と一体で運用する。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判断能力が十分でない方の権利を守るため、成年後見制度の利用に要する費用を助成し、町長による申立てを行います。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在宅で要介護高齢者を介護する家族に紙おむつ等の介護用品を支給し、介護の負担を軽くします。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調理が困難な独居高齢者等に食事を届け、あわせて安否を確認します。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第1章第1節2(3)）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体系（案）にない施策。8050問題・ヤングケアラー・ダブルケア等の複合的な課題を抱える世帯への包括的支援。地域福祉計画・障害者計画はジャパン総研が策定担当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第2節1(5)）への出席を運用で確保すれば得点できる。同規模かつ過疎地域の285保険者のうち161件（56.5％）が満点を取っており、0点9指標のなかで最も取りやすい（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柱7 2（介護費用適正化の推進）と一体で運用する。令和8年度に落ちた項目を確認中【町確認】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地域密着型・特定施設）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特殊浴槽等を備えた車両で要支援者・要介護者の家庭を訪問し、入浴介護を提供します。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看護師等が居宅を訪問し、療養上の世話や診療の補助を行います。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医師、理学療法士、作業療法士が、要支援者・要介護者の家庭を訪問し、理学療法・作業療法等のリハビリテーションを提供します。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デイサービスセンターにおいて、生活指導、日常生活訓練、健康チェック、食事、入浴、機能訓練、送迎等を提供します。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介護老人保健施設や病院、診療所などにおいて、機能訓練、食事、入浴、送迎等を提供します。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介護老人福祉施設を短期間利用し、必要な介護や機能訓練を提供します。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介護老人保健施設等に短期間入所し、看護・医学的管理のもとで介護や機能訓練を受けます。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特殊ベッド、車イス、エアーマット、リフト、歩行支援具、徘徊感知用具など、自立を支援するために必要な福祉用具を貸与します。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ポータブルトイレ、特殊尿器、入浴補助具など入浴や排泄のために使う用具の購入費の一部費用を支給します。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家庭での階段や廊下、玄関の手摺りの取り付け、浴室、玄関の段差解消など小規模な改修について、その一部の費用を支給します。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要介護者の在宅生活を支えるため、夜間帯にホームヘルパーなどが要介護者の家庭を訪問し、訪問介護のサービスを提供します。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認知症の方が少人数で共同生活を営む住居で、入浴・排泄・食事等の介護や機能訓練を受けます。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（７）地域密着型介護老人福祉施設入居者生活介護（小規模特別養護老人ホーム）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定員29人以下の特別養護老人ホームに入所し、介護や機能訓練を受けます。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常時介護が必要で居宅での生活が難しい方が入所し、介護や機能訓練、健康管理を受けます（特別養護老人ホーム）。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病状が安定し在宅復帰を目指す方が入所し、看護・医学的管理のもとで介護や機能訓練を受けます。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重層的支援体制整備事業との連動、成年後見制度の利用促進、日常生活自立支援事業、移送サービスを共通の論点として整理する（両計画はジャパン総研が策定）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を2つ入れ替えました。Ver.2.1までは「認知症の人と家族の地域生活満足度」を掲げていましたが、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別冊「施策・事業の体系（Ｃ案）」の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認知症基本法第12条第6項により、計画に少なくとも5年ごとに検討を加え、必要があると認めるときは変更します。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もの忘れが気になる方と家族の相談に応じ、医療機関や地域包括支援センターにつなぎます（年12回）。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もの忘れ相談・認知症初期集中支援チーム・国保川崎病院との連携により、早期の発見と対応の体制を整えます。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医療・介護・地域の支援を結びつける認知症地域支援推進員を配置し、認知症の人と家族を支えます。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認知症を予防するため、生活習慣の改善など認知症を予防できる方法を介護予防教室や広報により周知啓発を図ります。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認知症の人・家族・地域の方・専門職が集う場として、認知症カフェ「喫茶みかん」（年47回）の運営を支援します。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地域包括支援センターを窓口に、認知症の人と家族の相談に応じ、必要な支援につなぎます。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衣類等に貼るＱＲコードにより、行方が分からなくなった認知症の人の早期の発見を図ります。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認知症について正しく理解し、認知症の人と家族を見守る応援者を養成する講座を開きます。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認知症サポーター養成講座の講師を務めるキャラバンメイトを養成し、活動を支援します（累計80名）。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町内の企業・学校等に出向いて認知症サポーター養成講座を開き、地域で支える裾野を広げます。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認知症サポーター・キャラバンメイト・ステップアップ講座修了者の養成により、支える人材を育てます。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認知症の本人が集まり、自らの体験や希望を語り合う場を設けます（第10期に新設）。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65歳未満で認知症を発症した方が働き続けられるよう、事業主への啓発を行います。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成年後見制度の周知と相談に応じ、必要な方が制度を利用できるよう支援します。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社会福祉協議会が行う日常生活自立支援事業により、金銭の管理や福祉サービスの利用の手続を支援します。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認知症の人の意思が尊重されるよう、関係者を対象とした意思決定支援の研修を実施します（第10期に新設）。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消費生活相談の窓口と連携し、高齢者・認知症の人を狙った消費者被害の防止に向けた啓発を行います。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認知症に関する国の研究の成果を、町の施策と住民への情報提供に活かします。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第1節1(1)の意見聴取と一体で運用する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素案Ver.1.18までは「世界アルツハイマー月間」としていたが、これは国際的な呼称であり法定の認知症の日・認知症月間とは別のもの</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第1節1(1)の意見聴取と一体で運用する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素案Ver.1.18までは「世界アルツハイマー月間」としていたが、これは国際的な呼称であり法定の認知症の日・認知症月間とは別のもの</w:t>
            </w:r>
          </w:p>
        </w:tc>
      </w:tr>
    </w:tbl>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章17節37項143事業）は第2回策定委員会の選択1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本人ミーティング（Ver.2.1で新規事業として計上済み）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チームオレンジの活動支援（Ver.2.1で拡充事業として計上済み）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選択1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 xml:space="preserve">①　年1回の事業所ヒアリング（職員数、稼働の状況、経営の状況、必要な支援）</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別冊「施策・事業の体系（Ｃ案）」の柱7（地域マネジメントに関する事項）の9事業と、本章及び第7章の節との対応は次のとおりです。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体系（案）にない施策。7に含めるか8として立てるかを確認中（確認事項No.108）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実：住所地特例該当者24人（令和7年6月時点）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体系（案）にない施策。町外施設（柴田町・大河原町・仙台市等）への依存が常態化しており、所在自治体内訳の把握を見込量算定と広域連携の根拠とする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柱7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10期計画期間（令和9〜11年度）の介護保険サービス見込量と、それに基づく介護保険料を示します。本素案Ver.1.25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bl>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
        <w:gridCol w:w="80"/>
        <w:gridCol w:w="120"/>
        <w:gridCol w:w="120"/>
        <w:gridCol w:w="50"/>
      </w:tblGrid>
      <w:tr>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実績（令和6年度→令和7年度）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見込量0。整備の予定を第2回策定委員会で確認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見込量0。認知症施策としては継続の位置付けとし、供給がない場合は近隣市町村の事業所の利用を支援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［要確認］町内に事業所があるとの整理があり、実績との食い違いを確認中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見込量0。第2章2-3の事業所一覧と突き合わせる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見込量0。介護療養型医療施設は令和5年度末（令和6年3月31日）で廃止済み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No.71</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町内の訪問介護は登録21名に対し実働4名（2-7）であり、24時間の体制を組む人材の確保が課題。整備には事業者の参入意向の確認を要する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定員、入所率・稼働率、空床・休止床、待機者数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特別養護老人ホーム・介護老人保健施設への照会（確認事項No.159）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事業所ヒアリング（確認事項No.50・No.51）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xml:space="preserve">⚠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が、実際の新規入所者が入所前にどこにいたか、退所者がどこへ退所したかは把握していません。2施設への照会により把握し（確認事項No.159）、第2回策定委員会の選択2（施設整備）の判断の根拠とします。</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選択1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0"/>
          <w:szCs w:val="20"/>
        </w:rPr>
        <w:t xml:space="preserve">⑤　</w:t>
      </w:r>
      <w:r>
        <w:rPr>
          <w:rFonts w:ascii="游ゴシック" w:cs="游ゴシック" w:eastAsia="游ゴシック" w:hAnsi="游ゴシック"/>
          <w:i w:val="false"/>
          <w:iCs w:val="false"/>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 xml:space="preserve">本素案Ver.1.25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