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8"/>
          <w:szCs w:val="28"/>
        </w:rPr>
        <w:t xml:space="preserve">第3回・第4回策定委員会資料　骨子案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令和8年10月5日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⚠ 本骨子は、第2回策定委員会の開催日が確定していない段階（確認事項No.85）で、諮る事項と資料の構成を先に置くものです。開催日と、委員会を全3回とするか全4回とするか（確認事項No.49）が確定しだい、日取りと次第を改めま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▌1　第3回・第4回の位置づけ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逆算工程表では、第2回策定委員会を令和8年11月11日に開催する場合、第3回が令和9年1月25日、第4回が令和9年2月19日となります。第3回で保険料を決定し、第4回で計画書（案）を確定して答申をいただく組み立て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"/>
        <w:gridCol w:w="152"/>
      </w:tblGrid>
      <w:tr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年月日</w:t>
            </w:r>
          </w:p>
        </w:tc>
        <w:tc>
          <w:tcPr>
            <w:tcW w:type="dxa" w:w="15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工程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8年11月11日（水）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第2回策定委員会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8年12月2日（水）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計画書（案）の作成／宮城県への事前協議の開始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8年12月16日（水）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パブリックコメントの開始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9年1月15日（金）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パブリックコメントの終了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9年1月25日（月）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第3回策定委員会（保険料の決定・意見の反映）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9年2月19日（金）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第4回策定委員会（計画書（案）の確定・答申）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9年3月1日（月）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成果品の入稿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9年3月22日（月）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納品（仕様書8）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第2回の開催が遅れると、この先のすべてが同じだけ後ろにずれます。第2回を11月18日以降に開催する場合は、工程の短縮（意見公募手続を20日間とする案、委員会を全3回とする案）を併せてご検討ください。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▌2　第3回策定委員会（令和9年1月）の骨子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保険料の決定と、意見公募手続の結果の報告が中心になります。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"/>
        <w:gridCol w:w="24"/>
        <w:gridCol w:w="176"/>
        <w:gridCol w:w="96"/>
      </w:tblGrid>
      <w:tr>
        <w:tc>
          <w:tcPr>
            <w:tcW w:type="dxa" w:w="1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次第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分</w:t>
            </w:r>
          </w:p>
        </w:tc>
        <w:tc>
          <w:tcPr>
            <w:tcW w:type="dxa" w:w="1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内容</w:t>
            </w:r>
          </w:p>
        </w:tc>
        <w:tc>
          <w:tcPr>
            <w:tcW w:type="dxa" w:w="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諮る事項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開会・事務局説明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事務局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① 第2回でいただいたご意見と反映の状況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選択1〜5のご選択を計画素案にどう反映したかを、箇所を示してご報告します。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反映の内容のご確認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② 意見公募手続の結果のご報告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いただいたご意見の件数・主な内容と、町の考え方（対照表）。計画の修正に至ったものを分けてお示しします。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町の考え方のご確認／計画に反映する範囲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③ 宮城県からいただいた意見と対応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事前協議でいただいた意見と、計画への反映。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対応のご確認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④ 介護保険料の決定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35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算定Ａ（基金の取崩しなし）・算定Ｂ（50％取崩し）・算定Ｃ（全額取崩し）の3パターンと、それぞれの第1号被保険者への影響。⚠ 基金の取崩額のご決定をいただきます。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取崩額の決定（第2回の選択5）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⑤ 計画書（案）の提示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本文・資料編・概要版の構成と、第2回からの変更点。⚠ 全3回とする場合は、ここで答申の内容まで確定します。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計画書（案）のご確認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⑥ 今後の予定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第4回（答申）・議会への説明・入稿・納品までの日取り。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閉会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事務局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資料の構成は次のとおりです。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144"/>
        <w:gridCol w:w="56"/>
        <w:gridCol w:w="160"/>
      </w:tblGrid>
      <w:tr>
        <w:tc>
          <w:tcPr>
            <w:tcW w:type="dxa" w:w="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資料</w:t>
            </w:r>
          </w:p>
        </w:tc>
        <w:tc>
          <w:tcPr>
            <w:tcW w:type="dxa" w:w="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名称</w:t>
            </w:r>
          </w:p>
        </w:tc>
        <w:tc>
          <w:tcPr>
            <w:tcW w:type="dxa" w:w="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作る者</w:t>
            </w:r>
          </w:p>
        </w:tc>
        <w:tc>
          <w:tcPr>
            <w:tcW w:type="dxa" w:w="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現在の状態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第2回のご意見と反映の状況（一覧）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作成可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意見公募手続の結果（意見と町の考え方の対照表）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町・受託者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⚠ 実施後でなければ作れない。様式は作成済み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宮城県からの意見と対応（一覧）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町・受託者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⚠ 協議後でなければ作れない。様式は作成済み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介護保険料の算定（3パターンと影響）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作成可（保険料試算ワークブックから）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計画書（案）本文・資料編・概要版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素案 Ver.2.10 を母体とする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今後の予定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作成可（逆算工程表から）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参考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想定問答集（事務局用）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第2回 v4 を母体とする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⚠ 保険料は、算定Ａ（基金の取崩しなし）・算定Ｂ（50％取崩し）・算定Ｃ（全額取崩し）の3パターンのまま第3回にお諮りします。1つに絞ってお示しすることはいたしません。取崩額のご決定をいただいて、はじめて1つに定まりま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▌3　第4回策定委員会（令和9年2月）の骨子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計画書（案）の確定と答申です。⚠ この回を過ぎると、入稿までに直せるのは誤りの訂正のみになります。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"/>
        <w:gridCol w:w="24"/>
        <w:gridCol w:w="176"/>
        <w:gridCol w:w="96"/>
      </w:tblGrid>
      <w:tr>
        <w:tc>
          <w:tcPr>
            <w:tcW w:type="dxa" w:w="1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次第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分</w:t>
            </w:r>
          </w:p>
        </w:tc>
        <w:tc>
          <w:tcPr>
            <w:tcW w:type="dxa" w:w="1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内容</w:t>
            </w:r>
          </w:p>
        </w:tc>
        <w:tc>
          <w:tcPr>
            <w:tcW w:type="dxa" w:w="9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諮る事項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開会・事務局説明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事務局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① 第3回でいただいたご意見と反映の状況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保険料の決定・計画書（案）へのご意見の反映。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反映の内容のご確認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② 計画書（案）の最終確認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40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本文・資料編・概要版の確定版。⚠ この回を過ぎると、入稿までに直せるのは誤りの訂正のみです。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計画書（案）の確定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③ 答申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⚠ 答申を行うか、諮問書・答申書を計画書の別添に掲げるかは確認事項No.131のご判断によります。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答申の決定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④ 今後の予定（議会・入稿・公表）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議会への説明、入稿、公表、見える化システムへの登録。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閉会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事務局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―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資料の構成は次のとおりです。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144"/>
        <w:gridCol w:w="56"/>
        <w:gridCol w:w="160"/>
      </w:tblGrid>
      <w:tr>
        <w:tc>
          <w:tcPr>
            <w:tcW w:type="dxa" w:w="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資料</w:t>
            </w:r>
          </w:p>
        </w:tc>
        <w:tc>
          <w:tcPr>
            <w:tcW w:type="dxa" w:w="14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名称</w:t>
            </w:r>
          </w:p>
        </w:tc>
        <w:tc>
          <w:tcPr>
            <w:tcW w:type="dxa" w:w="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作る者</w:t>
            </w:r>
          </w:p>
        </w:tc>
        <w:tc>
          <w:tcPr>
            <w:tcW w:type="dxa" w:w="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現在の状態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第3回のご意見と反映の状況（一覧）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作成可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計画書（案）確定版 本文・資料編・概要版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第3回の決定を反映した版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答申書（案）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⚠ 答申を行う場合。確認事項No.131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資料4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今後の予定（議会・入稿・公表）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作成可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参考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想定問答集（事務局用）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受託者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第3回から引き継ぐ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▌4　何が決まっていないと開けないか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第3回・第4回は、第2回のご選択と、その後の手続の結果を前提とします。前提が整わないと開催しても決められません。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"/>
        <w:gridCol w:w="104"/>
        <w:gridCol w:w="192"/>
        <w:gridCol w:w="56"/>
      </w:tblGrid>
      <w:tr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回</w:t>
            </w:r>
          </w:p>
        </w:tc>
        <w:tc>
          <w:tcPr>
            <w:tcW w:type="dxa" w:w="1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前提</w:t>
            </w:r>
          </w:p>
        </w:tc>
        <w:tc>
          <w:tcPr>
            <w:tcW w:type="dxa" w:w="19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なぜ要るか</w:t>
            </w:r>
          </w:p>
        </w:tc>
        <w:tc>
          <w:tcPr>
            <w:tcW w:type="dxa" w:w="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7"/>
                <w:szCs w:val="17"/>
              </w:rPr>
              <w:t xml:space="preserve">確認事項No.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第2回の選択1〜5のご選択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選択2・3は見込量に、選択5は保険料に直結する。決まらないと保険料を決定できない。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85・49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意見公募手続の実施（12月）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⚠ 実施支援が本業務の範囲かが決まっていない（確認事項No.19）。期間が30日間の場合、第2回が11月11日を過ぎると第3回に結果が間に合わない。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19・136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宮城県への事前協議の開始（11月下旬〜12月上旬）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県の運用（要する期間・様式）が分からないため、日取りを置けない。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介護給付費準備基金の令和8年度末残高の見込み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取崩額を決定する前提。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11・33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第4回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答申を行うか／諮問書・答申書を別添に掲げるか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行う場合、答申書（案）の作成と委員長の決裁に日数を要する。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131・129・130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第4回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成果品の入稿期日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印刷・製本に21日間を見込んでいる。2週間に縮められる場合は第4回を1週間後ろにできる。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第3回・第4回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委員会を全3回とするか全4回とするか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3回構成とする場合、第3回で保険料の決定と答申を併せて行う。当日の時間が2時間では収まらない見込み。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7"/>
                <w:szCs w:val="17"/>
              </w:rPr>
              <w:t xml:space="preserve">49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▌5　委員会を全3回とする場合の差分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第1回では「第3回（令和9年1月）で素案提示及び答申内容の確定」という段取りが示された一方、第1回資料の策定スケジュール（案）は第4回（令和9年2月・答申書案）を含む4回構成でした（確認事項No.49）。全3回に寄せる場合の差分を示します。</w:t>
      </w:r>
    </w:p>
    <w:tbl>
      <w:tblPr>
        <w:tblW w:type="pct" w:w="96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"/>
        <w:gridCol w:w="102"/>
        <w:gridCol w:w="132"/>
      </w:tblGrid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変わるところ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どう変わるか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留意いただきたいこと</w:t>
            </w:r>
          </w:p>
        </w:tc>
      </w:tr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第3回の時間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2時間 → 2時間30分〜3時間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保険料の決定（35分）と答申（20分）を同じ回で行うため。</w:t>
            </w:r>
          </w:p>
        </w:tc>
      </w:tr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第3回の次第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⑤計画書（案）の提示 のあとに ⑥答申 を加える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答申書（案）を事前配布する必要がある。</w:t>
            </w:r>
          </w:p>
        </w:tc>
      </w:tr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答申書（案）の作成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第3回の2週間前までに町にてご用意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計画書（案）が固まる前に答申書（案）を書くことになるため、⚠ 計画の内容に踏み込まない書きぶりとする必要がある。</w:t>
            </w:r>
          </w:p>
        </w:tc>
      </w:tr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納期までの余裕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25日の短縮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第4回（答申）を設けないため、入稿を25日早められる。第2回が11月18日・11月25日になった場合の短縮の案（案Ｃ・案Ｄ）に当たる。</w:t>
            </w:r>
          </w:p>
        </w:tc>
      </w:tr>
      <w:tr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取りうる場面</w:t>
            </w:r>
          </w:p>
        </w:tc>
        <w:tc>
          <w:tcPr>
            <w:tcW w:type="dxa" w:w="10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第2回の開催が11月18日以降にずれた場合</w:t>
            </w:r>
          </w:p>
        </w:tc>
        <w:tc>
          <w:tcPr>
            <w:tcW w:type="dxa" w:w="1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11月4日・11月11日に開催できるのであれば、4回構成のままで納期に収まる。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⚠ 全3回とするのは、第2回の開催が令和8年11月18日以降にずれた場合の対処としてお考えください。11月4日又は11月11日に開催できるのであれば、4回構成のままで納期（令和9年3月15日）に収まります。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1"/>
          <w:szCs w:val="21"/>
        </w:rPr>
        <w:t xml:space="preserve">▌6　ご確認をお願いしたいこと</w:t>
      </w:r>
    </w:p>
    <w:tbl>
      <w:tblPr>
        <w:tblW w:type="pct" w:w="96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"/>
        <w:gridCol w:w="210"/>
        <w:gridCol w:w="66"/>
      </w:tblGrid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事項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確認事項No.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第2回策定委員会の開催日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委員会を全3回とするか全4回とするか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答申を行うか／諮問書・答申書を計画書の別添に掲げるか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意見公募手続の実施支援を本業務の範囲とするか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宮城県への事前協議に要する期間と様式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成果品の入稿期日（印刷・製本に要する日数）</w:t>
            </w:r>
          </w:p>
        </w:tc>
        <w:tc>
          <w:tcPr>
            <w:tcW w:type="dxa" w:w="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righ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/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0"/>
          <w:szCs w:val="20"/>
        </w:rPr>
        <w:t xml:space="preserve">以上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 第3回・第4回策定委員会資料 骨子案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>
      <w:pPr>
        <w:spacing w:after="120" w:line="276" w:lineRule="auto"/>
      </w:pPr>
    </w:pPrDefault>
  </w:docDefaults>
  <w:style xmlns:w="http://schemas.openxmlformats.org/wordprocessingml/2006/main" w:type="paragraph" w:default="1" w:styleId="Normal">
    <w:name w:val="Normal"/>
    <w:qFormat/>
    <w:pPr>
      <w:widowControl w:val="0"/>
      <w:jc w:val="both"/>
    </w:pPr>
    <w:rPr>
      <w:rFonts w:ascii="游ゴシック" w:hAnsi="游ゴシック" w:eastAsia="游ゴシック" w:cs="游ゴシック"/>
      <w:sz w:val="21"/>
      <w:szCs w:val="21"/>
    </w:rPr>
  </w:style>
  <w:style w:type="paragraph" w:styleId="Title">
    <w:name w:val="Title"/>
    <w:basedOn w:val="Normal"/>
    <w:next w:val="Normal"/>
    <w:qFormat/>
    <w:rPr>
      <w:rFonts w:ascii="游ゴシック" w:hAnsi="游ゴシック" w:eastAsia="游ゴシック" w:cs="游ゴシック"/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rFonts w:ascii="游ゴシック" w:hAnsi="游ゴシック" w:eastAsia="游ゴシック" w:cs="游ゴシック"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rFonts w:ascii="游ゴシック" w:hAnsi="游ゴシック" w:eastAsia="游ゴシック" w:cs="游ゴシック"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rFonts w:ascii="游ゴシック" w:hAnsi="游ゴシック" w:eastAsia="游ゴシック" w:cs="游ゴシック"/>
      <w:color w:val="4F81BD"/>
      <w:sz w:val="21"/>
      <w:szCs w:val="21"/>
    </w:rPr>
  </w:style>
  <w:style w:type="paragraph" w:styleId="Heading4">
    <w:name w:val="Heading 4"/>
    <w:basedOn w:val="Normal"/>
    <w:next w:val="Normal"/>
    <w:qFormat/>
    <w:rPr>
      <w:b/>
      <w:bCs/>
      <w:rFonts w:ascii="游ゴシック" w:hAnsi="游ゴシック" w:eastAsia="游ゴシック" w:cs="游ゴシック"/>
      <w:i/>
      <w:iCs/>
      <w:color w:val="2E74B5"/>
      <w:sz w:val="21"/>
      <w:szCs w:val="21"/>
    </w:rPr>
  </w:style>
  <w:style w:type="paragraph" w:styleId="Heading5">
    <w:name w:val="Heading 5"/>
    <w:basedOn w:val="Normal"/>
    <w:next w:val="Normal"/>
    <w:qFormat/>
    <w:rPr>
      <w:b/>
      <w:bCs/>
      <w:rFonts w:ascii="游ゴシック" w:hAnsi="游ゴシック" w:eastAsia="游ゴシック" w:cs="游ゴシック"/>
      <w:color w:val="2E74B5"/>
      <w:sz w:val="21"/>
      <w:szCs w:val="21"/>
    </w:rPr>
  </w:style>
  <w:style w:type="paragraph" w:styleId="Heading6">
    <w:name w:val="Heading 6"/>
    <w:basedOn w:val="Normal"/>
    <w:next w:val="Normal"/>
    <w:qFormat/>
    <w:rPr>
      <w:b/>
      <w:bCs/>
      <w:rFonts w:ascii="游ゴシック" w:hAnsi="游ゴシック" w:eastAsia="游ゴシック" w:cs="游ゴシック"/>
      <w:color w:val="1F4D78"/>
      <w:sz w:val="21"/>
      <w:szCs w:val="21"/>
    </w:rPr>
  </w:style>
  <w:style w:type="paragraph" w:styleId="Strong">
    <w:name w:val="Strong"/>
    <w:basedOn w:val="Normal"/>
    <w:next w:val="Normal"/>
    <w:qFormat/>
    <w:rPr>
      <w:rFonts w:ascii="游ゴシック" w:hAnsi="游ゴシック" w:eastAsia="游ゴシック" w:cs="游ゴシック"/>
      <w:b/>
      <w:bCs/>
    </w:rPr>
  </w:style>
  <w:style w:type="paragraph" w:styleId="ListParagraph">
    <w:name w:val="List Paragraph"/>
    <w:basedOn w:val="Normal"/>
    <w:qFormat/>
    <w:rPr>
      <w:rFonts w:ascii="游ゴシック" w:hAnsi="游ゴシック" w:eastAsia="游ゴシック" w:cs="游ゴシック"/>
    </w:rPr>
  </w:style>
  <w:style w:type="character" w:styleId="Hyperlink">
    <w:name w:val="Hyperlink"/>
    <w:basedOn w:val="DefaultParagraphFont"/>
    <w:uiPriority w:val="99"/>
    <w:unhideWhenUsed/>
    <w:rPr>
      <w:rFonts w:ascii="游ゴシック" w:hAnsi="游ゴシック" w:eastAsia="游ゴシック" w:cs="游ゴシック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游ゴシック" w:hAnsi="游ゴシック" w:eastAsia="游ゴシック" w:cs="游ゴシック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游ゴシック" w:hAnsi="游ゴシック" w:eastAsia="游ゴシック" w:cs="游ゴシック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游ゴシック" w:hAnsi="游ゴシック" w:eastAsia="游ゴシック" w:cs="游ゴシック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游ゴシック" w:hAnsi="游ゴシック" w:eastAsia="游ゴシック" w:cs="游ゴシック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游ゴシック" w:hAnsi="游ゴシック" w:eastAsia="游ゴシック" w:cs="游ゴシック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游ゴシック" w:hAnsi="游ゴシック" w:eastAsia="游ゴシック" w:cs="游ゴシック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川崎町第10期介護保険事業計画 計画書素案v1.0</dc:title>
  <dc:creator>ビズアップ公共コンサルティング株式会社</dc:creator>
  <dc:description>川崎町高齢者保健福祉計画・第10期介護保険事業計画 計画書素案</dc:description>
  <cp:lastModifiedBy>Un-named</cp:lastModifiedBy>
  <cp:revision>1</cp:revision>
  <dcterms:created xsi:type="dcterms:W3CDTF">2026-06-29T06:49:34.837Z</dcterms:created>
  <dcterms:modified xsi:type="dcterms:W3CDTF">2026-06-29T06:49:34.837Z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