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第5版　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なお、第3期地域福祉計画に掲載された町の公式統計（介護保険事業状況報告）により、令和3〜7年の要介護度別認定者数の実数を確認できた（第2章2）。</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ListBullet"/>
        <w:spacing w:after="0"/>
      </w:pPr>
      <w:r>
        <w:t>第9期評価及び関連計画との役割分担にあたっては、「小野町高齢者保健福祉計画・第9期介護保険事業計画」（令和6年3月）及び「小野町第3期地域福祉計画」（令和8年3月。概要版を含む）の本文を参照している。</w:t>
      </w:r>
    </w:p>
    <w:p>
      <w:pPr>
        <w:pStyle w:val="ListBullet"/>
        <w:spacing w:after="0"/>
      </w:pPr>
      <w:r>
        <w:t>令和7年度に実施された「介護予防・日常生活圏域ニーズ調査及び在宅介護実態調査」（調査結果報告書・令和8年3月）の単純集計を受領し、第4章3及び第6章1に反映した。個票データは未受領のため、クロス集計は報告書に掲載されているもの（リスク分析の年齢階層別・男女別・認定状況別）に限られる。</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令和8年8月5日に、見える化システムから要支援・要介護認定者数の5系列（全体、第1号被保険者、第2号被保険者、75歳以上、85歳以上）を平成19年3月末から令和8年3月末までの20期分取得した。これにより、年度末基準・要介護度別・年齢階層別の系列が確定した。</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基準日</w:t>
            </w:r>
          </w:p>
        </w:tc>
        <w:tc>
          <w:tcPr>
            <w:tcW w:type="dxa" w:w="1080"/>
          </w:tcPr>
          <w:p>
            <w:r/>
            <w:r>
              <w:rPr>
                <w:rFonts w:ascii="游ゴシック" w:hAnsi="游ゴシック" w:eastAsia="游ゴシック"/>
                <w:b/>
                <w:sz w:val="18"/>
              </w:rPr>
              <w:t>全体</w:t>
            </w:r>
          </w:p>
        </w:tc>
        <w:tc>
          <w:tcPr>
            <w:tcW w:type="dxa" w:w="1080"/>
          </w:tcPr>
          <w:p>
            <w:r/>
            <w:r>
              <w:rPr>
                <w:rFonts w:ascii="游ゴシック" w:hAnsi="游ゴシック" w:eastAsia="游ゴシック"/>
                <w:b/>
                <w:sz w:val="18"/>
              </w:rPr>
              <w:t>第1号</w:t>
            </w:r>
          </w:p>
        </w:tc>
        <w:tc>
          <w:tcPr>
            <w:tcW w:type="dxa" w:w="1080"/>
          </w:tcPr>
          <w:p>
            <w:r/>
            <w:r>
              <w:rPr>
                <w:rFonts w:ascii="游ゴシック" w:hAnsi="游ゴシック" w:eastAsia="游ゴシック"/>
                <w:b/>
                <w:sz w:val="18"/>
              </w:rPr>
              <w:t>第2号</w:t>
            </w:r>
          </w:p>
        </w:tc>
        <w:tc>
          <w:tcPr>
            <w:tcW w:type="dxa" w:w="1080"/>
          </w:tcPr>
          <w:p>
            <w:r/>
            <w:r>
              <w:rPr>
                <w:rFonts w:ascii="游ゴシック" w:hAnsi="游ゴシック" w:eastAsia="游ゴシック"/>
                <w:b/>
                <w:sz w:val="18"/>
              </w:rPr>
              <w:t>65〜74歳</w:t>
            </w:r>
          </w:p>
        </w:tc>
        <w:tc>
          <w:tcPr>
            <w:tcW w:type="dxa" w:w="1080"/>
          </w:tcPr>
          <w:p>
            <w:r/>
            <w:r>
              <w:rPr>
                <w:rFonts w:ascii="游ゴシック" w:hAnsi="游ゴシック" w:eastAsia="游ゴシック"/>
                <w:b/>
                <w:sz w:val="18"/>
              </w:rPr>
              <w:t>75〜84歳</w:t>
            </w:r>
          </w:p>
        </w:tc>
        <w:tc>
          <w:tcPr>
            <w:tcW w:type="dxa" w:w="1080"/>
          </w:tcPr>
          <w:p>
            <w:r/>
            <w:r>
              <w:rPr>
                <w:rFonts w:ascii="游ゴシック" w:hAnsi="游ゴシック" w:eastAsia="游ゴシック"/>
                <w:b/>
                <w:sz w:val="18"/>
              </w:rPr>
              <w:t>85歳以上</w:t>
            </w:r>
          </w:p>
        </w:tc>
        <w:tc>
          <w:tcPr>
            <w:tcW w:type="dxa" w:w="1080"/>
          </w:tcPr>
          <w:p>
            <w:r/>
            <w:r>
              <w:rPr>
                <w:rFonts w:ascii="游ゴシック" w:hAnsi="游ゴシック" w:eastAsia="游ゴシック"/>
                <w:b/>
                <w:sz w:val="18"/>
              </w:rPr>
              <w:t>対前年増減</w:t>
            </w:r>
          </w:p>
        </w:tc>
      </w:tr>
      <w:tr>
        <w:tc>
          <w:tcPr>
            <w:tcW w:type="dxa" w:w="1080"/>
          </w:tcPr>
          <w:p>
            <w:r/>
            <w:r>
              <w:rPr>
                <w:sz w:val="18"/>
              </w:rPr>
              <w:t>平成30年3月末</w:t>
            </w:r>
          </w:p>
        </w:tc>
        <w:tc>
          <w:tcPr>
            <w:tcW w:type="dxa" w:w="1080"/>
          </w:tcPr>
          <w:p>
            <w:r/>
            <w:r>
              <w:rPr>
                <w:sz w:val="18"/>
              </w:rPr>
              <w:t>691</w:t>
            </w:r>
          </w:p>
        </w:tc>
        <w:tc>
          <w:tcPr>
            <w:tcW w:type="dxa" w:w="1080"/>
          </w:tcPr>
          <w:p>
            <w:r/>
            <w:r>
              <w:rPr>
                <w:sz w:val="18"/>
              </w:rPr>
              <w:t>680</w:t>
            </w:r>
          </w:p>
        </w:tc>
        <w:tc>
          <w:tcPr>
            <w:tcW w:type="dxa" w:w="1080"/>
          </w:tcPr>
          <w:p>
            <w:r/>
            <w:r>
              <w:rPr>
                <w:sz w:val="18"/>
              </w:rPr>
              <w:t>11</w:t>
            </w:r>
          </w:p>
        </w:tc>
        <w:tc>
          <w:tcPr>
            <w:tcW w:type="dxa" w:w="1080"/>
          </w:tcPr>
          <w:p>
            <w:r/>
            <w:r>
              <w:rPr>
                <w:sz w:val="18"/>
              </w:rPr>
              <w:t>49</w:t>
            </w:r>
          </w:p>
        </w:tc>
        <w:tc>
          <w:tcPr>
            <w:tcW w:type="dxa" w:w="1080"/>
          </w:tcPr>
          <w:p>
            <w:r/>
            <w:r>
              <w:rPr>
                <w:sz w:val="18"/>
              </w:rPr>
              <w:t>205</w:t>
            </w:r>
          </w:p>
        </w:tc>
        <w:tc>
          <w:tcPr>
            <w:tcW w:type="dxa" w:w="1080"/>
          </w:tcPr>
          <w:p>
            <w:r/>
            <w:r>
              <w:rPr>
                <w:sz w:val="18"/>
              </w:rPr>
              <w:t>426</w:t>
            </w:r>
          </w:p>
        </w:tc>
        <w:tc>
          <w:tcPr>
            <w:tcW w:type="dxa" w:w="1080"/>
          </w:tcPr>
          <w:p>
            <w:r/>
            <w:r>
              <w:rPr>
                <w:sz w:val="18"/>
              </w:rPr>
              <w:t>▲1</w:t>
            </w:r>
          </w:p>
        </w:tc>
      </w:tr>
      <w:tr>
        <w:tc>
          <w:tcPr>
            <w:tcW w:type="dxa" w:w="1080"/>
          </w:tcPr>
          <w:p>
            <w:r/>
            <w:r>
              <w:rPr>
                <w:sz w:val="18"/>
              </w:rPr>
              <w:t>令和元年3月末</w:t>
            </w:r>
          </w:p>
        </w:tc>
        <w:tc>
          <w:tcPr>
            <w:tcW w:type="dxa" w:w="1080"/>
          </w:tcPr>
          <w:p>
            <w:r/>
            <w:r>
              <w:rPr>
                <w:sz w:val="18"/>
              </w:rPr>
              <w:t>722</w:t>
            </w:r>
          </w:p>
        </w:tc>
        <w:tc>
          <w:tcPr>
            <w:tcW w:type="dxa" w:w="1080"/>
          </w:tcPr>
          <w:p>
            <w:r/>
            <w:r>
              <w:rPr>
                <w:sz w:val="18"/>
              </w:rPr>
              <w:t>711</w:t>
            </w:r>
          </w:p>
        </w:tc>
        <w:tc>
          <w:tcPr>
            <w:tcW w:type="dxa" w:w="1080"/>
          </w:tcPr>
          <w:p>
            <w:r/>
            <w:r>
              <w:rPr>
                <w:sz w:val="18"/>
              </w:rPr>
              <w:t>11</w:t>
            </w:r>
          </w:p>
        </w:tc>
        <w:tc>
          <w:tcPr>
            <w:tcW w:type="dxa" w:w="1080"/>
          </w:tcPr>
          <w:p>
            <w:r/>
            <w:r>
              <w:rPr>
                <w:sz w:val="18"/>
              </w:rPr>
              <w:t>60</w:t>
            </w:r>
          </w:p>
        </w:tc>
        <w:tc>
          <w:tcPr>
            <w:tcW w:type="dxa" w:w="1080"/>
          </w:tcPr>
          <w:p>
            <w:r/>
            <w:r>
              <w:rPr>
                <w:sz w:val="18"/>
              </w:rPr>
              <w:t>205</w:t>
            </w:r>
          </w:p>
        </w:tc>
        <w:tc>
          <w:tcPr>
            <w:tcW w:type="dxa" w:w="1080"/>
          </w:tcPr>
          <w:p>
            <w:r/>
            <w:r>
              <w:rPr>
                <w:sz w:val="18"/>
              </w:rPr>
              <w:t>446</w:t>
            </w:r>
          </w:p>
        </w:tc>
        <w:tc>
          <w:tcPr>
            <w:tcW w:type="dxa" w:w="1080"/>
          </w:tcPr>
          <w:p>
            <w:r/>
            <w:r>
              <w:rPr>
                <w:sz w:val="18"/>
              </w:rPr>
              <w:t>＋31</w:t>
            </w:r>
          </w:p>
        </w:tc>
      </w:tr>
      <w:tr>
        <w:tc>
          <w:tcPr>
            <w:tcW w:type="dxa" w:w="1080"/>
          </w:tcPr>
          <w:p>
            <w:r/>
            <w:r>
              <w:rPr>
                <w:sz w:val="18"/>
              </w:rPr>
              <w:t>令和2年3月末</w:t>
            </w:r>
          </w:p>
        </w:tc>
        <w:tc>
          <w:tcPr>
            <w:tcW w:type="dxa" w:w="1080"/>
          </w:tcPr>
          <w:p>
            <w:r/>
            <w:r>
              <w:rPr>
                <w:sz w:val="18"/>
              </w:rPr>
              <w:t>754</w:t>
            </w:r>
          </w:p>
        </w:tc>
        <w:tc>
          <w:tcPr>
            <w:tcW w:type="dxa" w:w="1080"/>
          </w:tcPr>
          <w:p>
            <w:r/>
            <w:r>
              <w:rPr>
                <w:sz w:val="18"/>
              </w:rPr>
              <w:t>746</w:t>
            </w:r>
          </w:p>
        </w:tc>
        <w:tc>
          <w:tcPr>
            <w:tcW w:type="dxa" w:w="1080"/>
          </w:tcPr>
          <w:p>
            <w:r/>
            <w:r>
              <w:rPr>
                <w:sz w:val="18"/>
              </w:rPr>
              <w:t>8</w:t>
            </w:r>
          </w:p>
        </w:tc>
        <w:tc>
          <w:tcPr>
            <w:tcW w:type="dxa" w:w="1080"/>
          </w:tcPr>
          <w:p>
            <w:r/>
            <w:r>
              <w:rPr>
                <w:sz w:val="18"/>
              </w:rPr>
              <w:t>66</w:t>
            </w:r>
          </w:p>
        </w:tc>
        <w:tc>
          <w:tcPr>
            <w:tcW w:type="dxa" w:w="1080"/>
          </w:tcPr>
          <w:p>
            <w:r/>
            <w:r>
              <w:rPr>
                <w:sz w:val="18"/>
              </w:rPr>
              <w:t>211</w:t>
            </w:r>
          </w:p>
        </w:tc>
        <w:tc>
          <w:tcPr>
            <w:tcW w:type="dxa" w:w="1080"/>
          </w:tcPr>
          <w:p>
            <w:r/>
            <w:r>
              <w:rPr>
                <w:sz w:val="18"/>
              </w:rPr>
              <w:t>469</w:t>
            </w:r>
          </w:p>
        </w:tc>
        <w:tc>
          <w:tcPr>
            <w:tcW w:type="dxa" w:w="1080"/>
          </w:tcPr>
          <w:p>
            <w:r/>
            <w:r>
              <w:rPr>
                <w:sz w:val="18"/>
              </w:rPr>
              <w:t>＋32</w:t>
            </w:r>
          </w:p>
        </w:tc>
      </w:tr>
      <w:tr>
        <w:tc>
          <w:tcPr>
            <w:tcW w:type="dxa" w:w="1080"/>
          </w:tcPr>
          <w:p>
            <w:r/>
            <w:r>
              <w:rPr>
                <w:sz w:val="18"/>
              </w:rPr>
              <w:t>令和3年3月末</w:t>
            </w:r>
          </w:p>
        </w:tc>
        <w:tc>
          <w:tcPr>
            <w:tcW w:type="dxa" w:w="1080"/>
          </w:tcPr>
          <w:p>
            <w:r/>
            <w:r>
              <w:rPr>
                <w:sz w:val="18"/>
              </w:rPr>
              <w:t>861</w:t>
            </w:r>
          </w:p>
        </w:tc>
        <w:tc>
          <w:tcPr>
            <w:tcW w:type="dxa" w:w="1080"/>
          </w:tcPr>
          <w:p>
            <w:r/>
            <w:r>
              <w:rPr>
                <w:sz w:val="18"/>
              </w:rPr>
              <w:t>846</w:t>
            </w:r>
          </w:p>
        </w:tc>
        <w:tc>
          <w:tcPr>
            <w:tcW w:type="dxa" w:w="1080"/>
          </w:tcPr>
          <w:p>
            <w:r/>
            <w:r>
              <w:rPr>
                <w:sz w:val="18"/>
              </w:rPr>
              <w:t>15</w:t>
            </w:r>
          </w:p>
        </w:tc>
        <w:tc>
          <w:tcPr>
            <w:tcW w:type="dxa" w:w="1080"/>
          </w:tcPr>
          <w:p>
            <w:r/>
            <w:r>
              <w:rPr>
                <w:sz w:val="18"/>
              </w:rPr>
              <w:t>66</w:t>
            </w:r>
          </w:p>
        </w:tc>
        <w:tc>
          <w:tcPr>
            <w:tcW w:type="dxa" w:w="1080"/>
          </w:tcPr>
          <w:p>
            <w:r/>
            <w:r>
              <w:rPr>
                <w:sz w:val="18"/>
              </w:rPr>
              <w:t>236</w:t>
            </w:r>
          </w:p>
        </w:tc>
        <w:tc>
          <w:tcPr>
            <w:tcW w:type="dxa" w:w="1080"/>
          </w:tcPr>
          <w:p>
            <w:r/>
            <w:r>
              <w:rPr>
                <w:sz w:val="18"/>
              </w:rPr>
              <w:t>544</w:t>
            </w:r>
          </w:p>
        </w:tc>
        <w:tc>
          <w:tcPr>
            <w:tcW w:type="dxa" w:w="1080"/>
          </w:tcPr>
          <w:p>
            <w:r/>
            <w:r>
              <w:rPr>
                <w:sz w:val="18"/>
              </w:rPr>
              <w:t>**＋107**</w:t>
            </w:r>
          </w:p>
        </w:tc>
      </w:tr>
      <w:tr>
        <w:tc>
          <w:tcPr>
            <w:tcW w:type="dxa" w:w="1080"/>
          </w:tcPr>
          <w:p>
            <w:r/>
            <w:r>
              <w:rPr>
                <w:sz w:val="18"/>
              </w:rPr>
              <w:t>令和4年3月末</w:t>
            </w:r>
          </w:p>
        </w:tc>
        <w:tc>
          <w:tcPr>
            <w:tcW w:type="dxa" w:w="1080"/>
          </w:tcPr>
          <w:p>
            <w:r/>
            <w:r>
              <w:rPr>
                <w:sz w:val="18"/>
              </w:rPr>
              <w:t>872</w:t>
            </w:r>
          </w:p>
        </w:tc>
        <w:tc>
          <w:tcPr>
            <w:tcW w:type="dxa" w:w="1080"/>
          </w:tcPr>
          <w:p>
            <w:r/>
            <w:r>
              <w:rPr>
                <w:sz w:val="18"/>
              </w:rPr>
              <w:t>861</w:t>
            </w:r>
          </w:p>
        </w:tc>
        <w:tc>
          <w:tcPr>
            <w:tcW w:type="dxa" w:w="1080"/>
          </w:tcPr>
          <w:p>
            <w:r/>
            <w:r>
              <w:rPr>
                <w:sz w:val="18"/>
              </w:rPr>
              <w:t>11</w:t>
            </w:r>
          </w:p>
        </w:tc>
        <w:tc>
          <w:tcPr>
            <w:tcW w:type="dxa" w:w="1080"/>
          </w:tcPr>
          <w:p>
            <w:r/>
            <w:r>
              <w:rPr>
                <w:sz w:val="18"/>
              </w:rPr>
              <w:t>65</w:t>
            </w:r>
          </w:p>
        </w:tc>
        <w:tc>
          <w:tcPr>
            <w:tcW w:type="dxa" w:w="1080"/>
          </w:tcPr>
          <w:p>
            <w:r/>
            <w:r>
              <w:rPr>
                <w:sz w:val="18"/>
              </w:rPr>
              <w:t>232</w:t>
            </w:r>
          </w:p>
        </w:tc>
        <w:tc>
          <w:tcPr>
            <w:tcW w:type="dxa" w:w="1080"/>
          </w:tcPr>
          <w:p>
            <w:r/>
            <w:r>
              <w:rPr>
                <w:sz w:val="18"/>
              </w:rPr>
              <w:t>564</w:t>
            </w:r>
          </w:p>
        </w:tc>
        <w:tc>
          <w:tcPr>
            <w:tcW w:type="dxa" w:w="1080"/>
          </w:tcPr>
          <w:p>
            <w:r/>
            <w:r>
              <w:rPr>
                <w:sz w:val="18"/>
              </w:rPr>
              <w:t>＋11</w:t>
            </w:r>
          </w:p>
        </w:tc>
      </w:tr>
      <w:tr>
        <w:tc>
          <w:tcPr>
            <w:tcW w:type="dxa" w:w="1080"/>
          </w:tcPr>
          <w:p>
            <w:r/>
            <w:r>
              <w:rPr>
                <w:sz w:val="18"/>
              </w:rPr>
              <w:t>令和5年3月末</w:t>
            </w:r>
          </w:p>
        </w:tc>
        <w:tc>
          <w:tcPr>
            <w:tcW w:type="dxa" w:w="1080"/>
          </w:tcPr>
          <w:p>
            <w:r/>
            <w:r>
              <w:rPr>
                <w:sz w:val="18"/>
              </w:rPr>
              <w:t>898</w:t>
            </w:r>
          </w:p>
        </w:tc>
        <w:tc>
          <w:tcPr>
            <w:tcW w:type="dxa" w:w="1080"/>
          </w:tcPr>
          <w:p>
            <w:r/>
            <w:r>
              <w:rPr>
                <w:sz w:val="18"/>
              </w:rPr>
              <w:t>885</w:t>
            </w:r>
          </w:p>
        </w:tc>
        <w:tc>
          <w:tcPr>
            <w:tcW w:type="dxa" w:w="1080"/>
          </w:tcPr>
          <w:p>
            <w:r/>
            <w:r>
              <w:rPr>
                <w:sz w:val="18"/>
              </w:rPr>
              <w:t>13</w:t>
            </w:r>
          </w:p>
        </w:tc>
        <w:tc>
          <w:tcPr>
            <w:tcW w:type="dxa" w:w="1080"/>
          </w:tcPr>
          <w:p>
            <w:r/>
            <w:r>
              <w:rPr>
                <w:sz w:val="18"/>
              </w:rPr>
              <w:t>71</w:t>
            </w:r>
          </w:p>
        </w:tc>
        <w:tc>
          <w:tcPr>
            <w:tcW w:type="dxa" w:w="1080"/>
          </w:tcPr>
          <w:p>
            <w:r/>
            <w:r>
              <w:rPr>
                <w:sz w:val="18"/>
              </w:rPr>
              <w:t>232</w:t>
            </w:r>
          </w:p>
        </w:tc>
        <w:tc>
          <w:tcPr>
            <w:tcW w:type="dxa" w:w="1080"/>
          </w:tcPr>
          <w:p>
            <w:r/>
            <w:r>
              <w:rPr>
                <w:sz w:val="18"/>
              </w:rPr>
              <w:t>582</w:t>
            </w:r>
          </w:p>
        </w:tc>
        <w:tc>
          <w:tcPr>
            <w:tcW w:type="dxa" w:w="1080"/>
          </w:tcPr>
          <w:p>
            <w:r/>
            <w:r>
              <w:rPr>
                <w:sz w:val="18"/>
              </w:rPr>
              <w:t>＋26</w:t>
            </w:r>
          </w:p>
        </w:tc>
      </w:tr>
      <w:tr>
        <w:tc>
          <w:tcPr>
            <w:tcW w:type="dxa" w:w="1080"/>
          </w:tcPr>
          <w:p>
            <w:r/>
            <w:r>
              <w:rPr>
                <w:sz w:val="18"/>
              </w:rPr>
              <w:t>令和6年3月末</w:t>
            </w:r>
          </w:p>
        </w:tc>
        <w:tc>
          <w:tcPr>
            <w:tcW w:type="dxa" w:w="1080"/>
          </w:tcPr>
          <w:p>
            <w:r/>
            <w:r>
              <w:rPr>
                <w:sz w:val="18"/>
              </w:rPr>
              <w:t>919</w:t>
            </w:r>
          </w:p>
        </w:tc>
        <w:tc>
          <w:tcPr>
            <w:tcW w:type="dxa" w:w="1080"/>
          </w:tcPr>
          <w:p>
            <w:r/>
            <w:r>
              <w:rPr>
                <w:sz w:val="18"/>
              </w:rPr>
              <w:t>907</w:t>
            </w:r>
          </w:p>
        </w:tc>
        <w:tc>
          <w:tcPr>
            <w:tcW w:type="dxa" w:w="1080"/>
          </w:tcPr>
          <w:p>
            <w:r/>
            <w:r>
              <w:rPr>
                <w:sz w:val="18"/>
              </w:rPr>
              <w:t>12</w:t>
            </w:r>
          </w:p>
        </w:tc>
        <w:tc>
          <w:tcPr>
            <w:tcW w:type="dxa" w:w="1080"/>
          </w:tcPr>
          <w:p>
            <w:r/>
            <w:r>
              <w:rPr>
                <w:sz w:val="18"/>
              </w:rPr>
              <w:t>74</w:t>
            </w:r>
          </w:p>
        </w:tc>
        <w:tc>
          <w:tcPr>
            <w:tcW w:type="dxa" w:w="1080"/>
          </w:tcPr>
          <w:p>
            <w:r/>
            <w:r>
              <w:rPr>
                <w:sz w:val="18"/>
              </w:rPr>
              <w:t>224</w:t>
            </w:r>
          </w:p>
        </w:tc>
        <w:tc>
          <w:tcPr>
            <w:tcW w:type="dxa" w:w="1080"/>
          </w:tcPr>
          <w:p>
            <w:r/>
            <w:r>
              <w:rPr>
                <w:sz w:val="18"/>
              </w:rPr>
              <w:t>609</w:t>
            </w:r>
          </w:p>
        </w:tc>
        <w:tc>
          <w:tcPr>
            <w:tcW w:type="dxa" w:w="1080"/>
          </w:tcPr>
          <w:p>
            <w:r/>
            <w:r>
              <w:rPr>
                <w:sz w:val="18"/>
              </w:rPr>
              <w:t>＋21</w:t>
            </w:r>
          </w:p>
        </w:tc>
      </w:tr>
      <w:tr>
        <w:tc>
          <w:tcPr>
            <w:tcW w:type="dxa" w:w="1080"/>
          </w:tcPr>
          <w:p>
            <w:r/>
            <w:r>
              <w:rPr>
                <w:sz w:val="18"/>
              </w:rPr>
              <w:t>令和7年3月末</w:t>
            </w:r>
          </w:p>
        </w:tc>
        <w:tc>
          <w:tcPr>
            <w:tcW w:type="dxa" w:w="1080"/>
          </w:tcPr>
          <w:p>
            <w:r/>
            <w:r>
              <w:rPr>
                <w:sz w:val="18"/>
              </w:rPr>
              <w:t>944</w:t>
            </w:r>
          </w:p>
        </w:tc>
        <w:tc>
          <w:tcPr>
            <w:tcW w:type="dxa" w:w="1080"/>
          </w:tcPr>
          <w:p>
            <w:r/>
            <w:r>
              <w:rPr>
                <w:sz w:val="18"/>
              </w:rPr>
              <w:t>935</w:t>
            </w:r>
          </w:p>
        </w:tc>
        <w:tc>
          <w:tcPr>
            <w:tcW w:type="dxa" w:w="1080"/>
          </w:tcPr>
          <w:p>
            <w:r/>
            <w:r>
              <w:rPr>
                <w:sz w:val="18"/>
              </w:rPr>
              <w:t>9</w:t>
            </w:r>
          </w:p>
        </w:tc>
        <w:tc>
          <w:tcPr>
            <w:tcW w:type="dxa" w:w="1080"/>
          </w:tcPr>
          <w:p>
            <w:r/>
            <w:r>
              <w:rPr>
                <w:sz w:val="18"/>
              </w:rPr>
              <w:t>89</w:t>
            </w:r>
          </w:p>
        </w:tc>
        <w:tc>
          <w:tcPr>
            <w:tcW w:type="dxa" w:w="1080"/>
          </w:tcPr>
          <w:p>
            <w:r/>
            <w:r>
              <w:rPr>
                <w:sz w:val="18"/>
              </w:rPr>
              <w:t>214</w:t>
            </w:r>
          </w:p>
        </w:tc>
        <w:tc>
          <w:tcPr>
            <w:tcW w:type="dxa" w:w="1080"/>
          </w:tcPr>
          <w:p>
            <w:r/>
            <w:r>
              <w:rPr>
                <w:sz w:val="18"/>
              </w:rPr>
              <w:t>632</w:t>
            </w:r>
          </w:p>
        </w:tc>
        <w:tc>
          <w:tcPr>
            <w:tcW w:type="dxa" w:w="1080"/>
          </w:tcPr>
          <w:p>
            <w:r/>
            <w:r>
              <w:rPr>
                <w:sz w:val="18"/>
              </w:rPr>
              <w:t>＋25</w:t>
            </w:r>
          </w:p>
        </w:tc>
      </w:tr>
      <w:tr>
        <w:tc>
          <w:tcPr>
            <w:tcW w:type="dxa" w:w="1080"/>
          </w:tcPr>
          <w:p>
            <w:r/>
            <w:r>
              <w:rPr>
                <w:sz w:val="18"/>
              </w:rPr>
              <w:t>令和8年3月末</w:t>
            </w:r>
          </w:p>
        </w:tc>
        <w:tc>
          <w:tcPr>
            <w:tcW w:type="dxa" w:w="1080"/>
          </w:tcPr>
          <w:p>
            <w:r/>
            <w:r>
              <w:rPr>
                <w:sz w:val="18"/>
              </w:rPr>
              <w:t>792</w:t>
            </w:r>
          </w:p>
        </w:tc>
        <w:tc>
          <w:tcPr>
            <w:tcW w:type="dxa" w:w="1080"/>
          </w:tcPr>
          <w:p>
            <w:r/>
            <w:r>
              <w:rPr>
                <w:sz w:val="18"/>
              </w:rPr>
              <w:t>783</w:t>
            </w:r>
          </w:p>
        </w:tc>
        <w:tc>
          <w:tcPr>
            <w:tcW w:type="dxa" w:w="1080"/>
          </w:tcPr>
          <w:p>
            <w:r/>
            <w:r>
              <w:rPr>
                <w:sz w:val="18"/>
              </w:rPr>
              <w:t>9</w:t>
            </w:r>
          </w:p>
        </w:tc>
        <w:tc>
          <w:tcPr>
            <w:tcW w:type="dxa" w:w="1080"/>
          </w:tcPr>
          <w:p>
            <w:r/>
            <w:r>
              <w:rPr>
                <w:sz w:val="18"/>
              </w:rPr>
              <w:t>64</w:t>
            </w:r>
          </w:p>
        </w:tc>
        <w:tc>
          <w:tcPr>
            <w:tcW w:type="dxa" w:w="1080"/>
          </w:tcPr>
          <w:p>
            <w:r/>
            <w:r>
              <w:rPr>
                <w:sz w:val="18"/>
              </w:rPr>
              <w:t>204</w:t>
            </w:r>
          </w:p>
        </w:tc>
        <w:tc>
          <w:tcPr>
            <w:tcW w:type="dxa" w:w="1080"/>
          </w:tcPr>
          <w:p>
            <w:r/>
            <w:r>
              <w:rPr>
                <w:sz w:val="18"/>
              </w:rPr>
              <w:t>515</w:t>
            </w:r>
          </w:p>
        </w:tc>
        <w:tc>
          <w:tcPr>
            <w:tcW w:type="dxa" w:w="1080"/>
          </w:tcPr>
          <w:p>
            <w:r/>
            <w:r>
              <w:rPr>
                <w:sz w:val="18"/>
              </w:rPr>
              <w:t>**▲152**</w:t>
            </w:r>
          </w:p>
        </w:tc>
      </w:tr>
    </w:tbl>
    <w:p>
      <w:r>
        <w:rPr>
          <w:i/>
          <w:sz w:val="18"/>
        </w:rPr>
        <w:t>資料：地域包括ケア「見える化」システム（B3a〜B3e）。出典は厚生労働省「介護保険事業状況報告」年報。**ただし令和7年3月末・令和8年3月末（令和6・7年度）のみ月報。**65〜74歳＝第1号被保険者−75歳以上、75〜84歳＝75歳以上−85歳以上として算出。第1号＋第2号＝全体は20期すべてで一致することを確認した。</w:t>
      </w:r>
    </w:p>
    <w:p>
      <w:r>
        <w:t>**20年の系列のうち、増減が突出しているのは2点のみである。**令和2年度の＋107人（＋14.2％）と、令和7年度の▲152人（▲16.1％）である。他の年の増減幅は▲6人〜＋39人にとどまる。</w:t>
      </w:r>
    </w:p>
    <w:p>
      <w:r>
        <w:t>令和7年3月末から令和8年3月末への変化を要介護度別にみると次のとおりである。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うち85歳以上の増減</w:t>
            </w:r>
          </w:p>
        </w:tc>
      </w:tr>
      <w:tr>
        <w:tc>
          <w:tcPr>
            <w:tcW w:type="dxa" w:w="1728"/>
          </w:tcPr>
          <w:p>
            <w:r/>
            <w:r>
              <w:rPr>
                <w:sz w:val="18"/>
              </w:rPr>
              <w:t>要支援1</w:t>
            </w:r>
          </w:p>
        </w:tc>
        <w:tc>
          <w:tcPr>
            <w:tcW w:type="dxa" w:w="1728"/>
          </w:tcPr>
          <w:p>
            <w:r/>
            <w:r>
              <w:rPr>
                <w:sz w:val="18"/>
              </w:rPr>
              <w:t>65</w:t>
            </w:r>
          </w:p>
        </w:tc>
        <w:tc>
          <w:tcPr>
            <w:tcW w:type="dxa" w:w="1728"/>
          </w:tcPr>
          <w:p>
            <w:r/>
            <w:r>
              <w:rPr>
                <w:sz w:val="18"/>
              </w:rPr>
              <w:t>70</w:t>
            </w:r>
          </w:p>
        </w:tc>
        <w:tc>
          <w:tcPr>
            <w:tcW w:type="dxa" w:w="1728"/>
          </w:tcPr>
          <w:p>
            <w:r/>
            <w:r>
              <w:rPr>
                <w:sz w:val="18"/>
              </w:rPr>
              <w:t>＋5（＋7.7％）</w:t>
            </w:r>
          </w:p>
        </w:tc>
        <w:tc>
          <w:tcPr>
            <w:tcW w:type="dxa" w:w="1728"/>
          </w:tcPr>
          <w:p>
            <w:r/>
            <w:r>
              <w:rPr>
                <w:sz w:val="18"/>
              </w:rPr>
              <w:t>▲1（▲2.7％）</w:t>
            </w:r>
          </w:p>
        </w:tc>
      </w:tr>
      <w:tr>
        <w:tc>
          <w:tcPr>
            <w:tcW w:type="dxa" w:w="1728"/>
          </w:tcPr>
          <w:p>
            <w:r/>
            <w:r>
              <w:rPr>
                <w:sz w:val="18"/>
              </w:rPr>
              <w:t>要支援2</w:t>
            </w:r>
          </w:p>
        </w:tc>
        <w:tc>
          <w:tcPr>
            <w:tcW w:type="dxa" w:w="1728"/>
          </w:tcPr>
          <w:p>
            <w:r/>
            <w:r>
              <w:rPr>
                <w:sz w:val="18"/>
              </w:rPr>
              <w:t>136</w:t>
            </w:r>
          </w:p>
        </w:tc>
        <w:tc>
          <w:tcPr>
            <w:tcW w:type="dxa" w:w="1728"/>
          </w:tcPr>
          <w:p>
            <w:r/>
            <w:r>
              <w:rPr>
                <w:sz w:val="18"/>
              </w:rPr>
              <w:t>129</w:t>
            </w:r>
          </w:p>
        </w:tc>
        <w:tc>
          <w:tcPr>
            <w:tcW w:type="dxa" w:w="1728"/>
          </w:tcPr>
          <w:p>
            <w:r/>
            <w:r>
              <w:rPr>
                <w:sz w:val="18"/>
              </w:rPr>
              <w:t>▲7（▲5.1％）</w:t>
            </w:r>
          </w:p>
        </w:tc>
        <w:tc>
          <w:tcPr>
            <w:tcW w:type="dxa" w:w="1728"/>
          </w:tcPr>
          <w:p>
            <w:r/>
            <w:r>
              <w:rPr>
                <w:sz w:val="18"/>
              </w:rPr>
              <w:t>▲13（▲14.1％）</w:t>
            </w:r>
          </w:p>
        </w:tc>
      </w:tr>
      <w:tr>
        <w:tc>
          <w:tcPr>
            <w:tcW w:type="dxa" w:w="1728"/>
          </w:tcPr>
          <w:p>
            <w:r/>
            <w:r>
              <w:rPr>
                <w:sz w:val="18"/>
              </w:rPr>
              <w:t>要介護1</w:t>
            </w:r>
          </w:p>
        </w:tc>
        <w:tc>
          <w:tcPr>
            <w:tcW w:type="dxa" w:w="1728"/>
          </w:tcPr>
          <w:p>
            <w:r/>
            <w:r>
              <w:rPr>
                <w:sz w:val="18"/>
              </w:rPr>
              <w:t>161</w:t>
            </w:r>
          </w:p>
        </w:tc>
        <w:tc>
          <w:tcPr>
            <w:tcW w:type="dxa" w:w="1728"/>
          </w:tcPr>
          <w:p>
            <w:r/>
            <w:r>
              <w:rPr>
                <w:sz w:val="18"/>
              </w:rPr>
              <w:t>143</w:t>
            </w:r>
          </w:p>
        </w:tc>
        <w:tc>
          <w:tcPr>
            <w:tcW w:type="dxa" w:w="1728"/>
          </w:tcPr>
          <w:p>
            <w:r/>
            <w:r>
              <w:rPr>
                <w:sz w:val="18"/>
              </w:rPr>
              <w:t>▲18（▲11.2％）</w:t>
            </w:r>
          </w:p>
        </w:tc>
        <w:tc>
          <w:tcPr>
            <w:tcW w:type="dxa" w:w="1728"/>
          </w:tcPr>
          <w:p>
            <w:r/>
            <w:r>
              <w:rPr>
                <w:sz w:val="18"/>
              </w:rPr>
              <w:t>▲8（▲7.8％）</w:t>
            </w:r>
          </w:p>
        </w:tc>
      </w:tr>
      <w:tr>
        <w:tc>
          <w:tcPr>
            <w:tcW w:type="dxa" w:w="1728"/>
          </w:tcPr>
          <w:p>
            <w:r/>
            <w:r>
              <w:rPr>
                <w:sz w:val="18"/>
              </w:rPr>
              <w:t>要介護2</w:t>
            </w:r>
          </w:p>
        </w:tc>
        <w:tc>
          <w:tcPr>
            <w:tcW w:type="dxa" w:w="1728"/>
          </w:tcPr>
          <w:p>
            <w:r/>
            <w:r>
              <w:rPr>
                <w:sz w:val="18"/>
              </w:rPr>
              <w:t>158</w:t>
            </w:r>
          </w:p>
        </w:tc>
        <w:tc>
          <w:tcPr>
            <w:tcW w:type="dxa" w:w="1728"/>
          </w:tcPr>
          <w:p>
            <w:r/>
            <w:r>
              <w:rPr>
                <w:sz w:val="18"/>
              </w:rPr>
              <w:t>125</w:t>
            </w:r>
          </w:p>
        </w:tc>
        <w:tc>
          <w:tcPr>
            <w:tcW w:type="dxa" w:w="1728"/>
          </w:tcPr>
          <w:p>
            <w:r/>
            <w:r>
              <w:rPr>
                <w:sz w:val="18"/>
              </w:rPr>
              <w:t>▲33（▲20.9％）</w:t>
            </w:r>
          </w:p>
        </w:tc>
        <w:tc>
          <w:tcPr>
            <w:tcW w:type="dxa" w:w="1728"/>
          </w:tcPr>
          <w:p>
            <w:r/>
            <w:r>
              <w:rPr>
                <w:sz w:val="18"/>
              </w:rPr>
              <w:t>▲16（▲16.2％）</w:t>
            </w:r>
          </w:p>
        </w:tc>
      </w:tr>
      <w:tr>
        <w:tc>
          <w:tcPr>
            <w:tcW w:type="dxa" w:w="1728"/>
          </w:tcPr>
          <w:p>
            <w:r/>
            <w:r>
              <w:rPr>
                <w:sz w:val="18"/>
              </w:rPr>
              <w:t>要介護3</w:t>
            </w:r>
          </w:p>
        </w:tc>
        <w:tc>
          <w:tcPr>
            <w:tcW w:type="dxa" w:w="1728"/>
          </w:tcPr>
          <w:p>
            <w:r/>
            <w:r>
              <w:rPr>
                <w:sz w:val="18"/>
              </w:rPr>
              <w:t>166</w:t>
            </w:r>
          </w:p>
        </w:tc>
        <w:tc>
          <w:tcPr>
            <w:tcW w:type="dxa" w:w="1728"/>
          </w:tcPr>
          <w:p>
            <w:r/>
            <w:r>
              <w:rPr>
                <w:sz w:val="18"/>
              </w:rPr>
              <w:t>145</w:t>
            </w:r>
          </w:p>
        </w:tc>
        <w:tc>
          <w:tcPr>
            <w:tcW w:type="dxa" w:w="1728"/>
          </w:tcPr>
          <w:p>
            <w:r/>
            <w:r>
              <w:rPr>
                <w:sz w:val="18"/>
              </w:rPr>
              <w:t>▲21（▲12.7％）</w:t>
            </w:r>
          </w:p>
        </w:tc>
        <w:tc>
          <w:tcPr>
            <w:tcW w:type="dxa" w:w="1728"/>
          </w:tcPr>
          <w:p>
            <w:r/>
            <w:r>
              <w:rPr>
                <w:sz w:val="18"/>
              </w:rPr>
              <w:t>▲21（▲17.5％）</w:t>
            </w:r>
          </w:p>
        </w:tc>
      </w:tr>
      <w:tr>
        <w:tc>
          <w:tcPr>
            <w:tcW w:type="dxa" w:w="1728"/>
          </w:tcPr>
          <w:p>
            <w:r/>
            <w:r>
              <w:rPr>
                <w:sz w:val="18"/>
              </w:rPr>
              <w:t>要介護4</w:t>
            </w:r>
          </w:p>
        </w:tc>
        <w:tc>
          <w:tcPr>
            <w:tcW w:type="dxa" w:w="1728"/>
          </w:tcPr>
          <w:p>
            <w:r/>
            <w:r>
              <w:rPr>
                <w:sz w:val="18"/>
              </w:rPr>
              <w:t>143</w:t>
            </w:r>
          </w:p>
        </w:tc>
        <w:tc>
          <w:tcPr>
            <w:tcW w:type="dxa" w:w="1728"/>
          </w:tcPr>
          <w:p>
            <w:r/>
            <w:r>
              <w:rPr>
                <w:sz w:val="18"/>
              </w:rPr>
              <w:t>108</w:t>
            </w:r>
          </w:p>
        </w:tc>
        <w:tc>
          <w:tcPr>
            <w:tcW w:type="dxa" w:w="1728"/>
          </w:tcPr>
          <w:p>
            <w:r/>
            <w:r>
              <w:rPr>
                <w:sz w:val="18"/>
              </w:rPr>
              <w:t>▲35（▲24.5％）</w:t>
            </w:r>
          </w:p>
        </w:tc>
        <w:tc>
          <w:tcPr>
            <w:tcW w:type="dxa" w:w="1728"/>
          </w:tcPr>
          <w:p>
            <w:r/>
            <w:r>
              <w:rPr>
                <w:sz w:val="18"/>
              </w:rPr>
              <w:t>▲29（▲27.1％）</w:t>
            </w:r>
          </w:p>
        </w:tc>
      </w:tr>
      <w:tr>
        <w:tc>
          <w:tcPr>
            <w:tcW w:type="dxa" w:w="1728"/>
          </w:tcPr>
          <w:p>
            <w:r/>
            <w:r>
              <w:rPr>
                <w:sz w:val="18"/>
              </w:rPr>
              <w:t>要介護5</w:t>
            </w:r>
          </w:p>
        </w:tc>
        <w:tc>
          <w:tcPr>
            <w:tcW w:type="dxa" w:w="1728"/>
          </w:tcPr>
          <w:p>
            <w:r/>
            <w:r>
              <w:rPr>
                <w:sz w:val="18"/>
              </w:rPr>
              <w:t>115</w:t>
            </w:r>
          </w:p>
        </w:tc>
        <w:tc>
          <w:tcPr>
            <w:tcW w:type="dxa" w:w="1728"/>
          </w:tcPr>
          <w:p>
            <w:r/>
            <w:r>
              <w:rPr>
                <w:sz w:val="18"/>
              </w:rPr>
              <w:t>72</w:t>
            </w:r>
          </w:p>
        </w:tc>
        <w:tc>
          <w:tcPr>
            <w:tcW w:type="dxa" w:w="1728"/>
          </w:tcPr>
          <w:p>
            <w:r/>
            <w:r>
              <w:rPr>
                <w:sz w:val="18"/>
              </w:rPr>
              <w:t>▲43（▲37.4％）</w:t>
            </w:r>
          </w:p>
        </w:tc>
        <w:tc>
          <w:tcPr>
            <w:tcW w:type="dxa" w:w="1728"/>
          </w:tcPr>
          <w:p>
            <w:r/>
            <w:r>
              <w:rPr>
                <w:sz w:val="18"/>
              </w:rPr>
              <w:t>▲29（▲38.7％）</w:t>
            </w:r>
          </w:p>
        </w:tc>
      </w:tr>
      <w:tr>
        <w:tc>
          <w:tcPr>
            <w:tcW w:type="dxa" w:w="1728"/>
          </w:tcPr>
          <w:p>
            <w:r/>
            <w:r>
              <w:rPr>
                <w:sz w:val="18"/>
              </w:rPr>
              <w:t>合計</w:t>
            </w:r>
          </w:p>
        </w:tc>
        <w:tc>
          <w:tcPr>
            <w:tcW w:type="dxa" w:w="1728"/>
          </w:tcPr>
          <w:p>
            <w:r/>
            <w:r>
              <w:rPr>
                <w:sz w:val="18"/>
              </w:rPr>
              <w:t>944</w:t>
            </w:r>
          </w:p>
        </w:tc>
        <w:tc>
          <w:tcPr>
            <w:tcW w:type="dxa" w:w="1728"/>
          </w:tcPr>
          <w:p>
            <w:r/>
            <w:r>
              <w:rPr>
                <w:sz w:val="18"/>
              </w:rPr>
              <w:t>792</w:t>
            </w:r>
          </w:p>
        </w:tc>
        <w:tc>
          <w:tcPr>
            <w:tcW w:type="dxa" w:w="1728"/>
          </w:tcPr>
          <w:p>
            <w:r/>
            <w:r>
              <w:rPr>
                <w:sz w:val="18"/>
              </w:rPr>
              <w:t>▲152（▲16.1％）</w:t>
            </w:r>
          </w:p>
        </w:tc>
        <w:tc>
          <w:tcPr>
            <w:tcW w:type="dxa" w:w="1728"/>
          </w:tcPr>
          <w:p>
            <w:r/>
            <w:r>
              <w:rPr>
                <w:sz w:val="18"/>
              </w:rPr>
              <w:t>▲117（▲18.5％）</w:t>
            </w:r>
          </w:p>
        </w:tc>
      </w:tr>
    </w:tbl>
    <w:p>
      <w:r>
        <w:t>**減少の77.0％が85歳以上に集中している。**第1号被保険者の減少152人の内訳は、85歳以上117人（▲18.5％）、65〜74歳25人（▲28.1％）、75〜84歳10人（▲4.7％）である。ただし85歳以上の中でも、要支援1の▲2.7％から要介護5の▲38.7％まで、**重度ほど減少幅が大きい単調なパターンが再現される。**</w:t>
      </w:r>
    </w:p>
    <w:p>
      <w:pPr>
        <w:pStyle w:val="Heading2"/>
      </w:pPr>
      <w:r>
        <w:t>2　町の公式統計との突合</w:t>
      </w:r>
    </w:p>
    <w:p>
      <w:r>
        <w:t>第3期地域福祉計画（令和8年3月策定）第2章1(3)及び第9期介護保険事業計画第2章3に、介護保険事業状況報告を出典とする要支援・要介護認定者数が掲載されている。町自身が公表した公式統計であり、見える化システムとは独立した系列である。両計画の重複年（令和3・4年）は要介護度別に7区分すべてが一致しており、同一系列であることが確認できる。これにより平成30年から令和7年までの8年連続の系列が確定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認定者数は平成30年の700人から令和7年の953人へ253人（36.1％）増加しており、8年間で減少した年は1年もない。認定率も令和3年の24.4％から令和7年の27.3％へ一貫して上昇している。</w:t>
      </w:r>
    </w:p>
    <w:p>
      <w:r>
        <w:t>両系列を基準日順に並べると次のとおりである。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る。10月1日から翌年3月末までの変化は▲5人、▲2人にとどまり、その間の年間増加（＋24〜＋30人）と矛盾しない。整合しないのは最後の1点のみであり、2025年7月31日の953人から令和8年3月末の783人まで、8か月で170人（17.8％）減少したことになる。</w:t>
      </w:r>
    </w:p>
    <w:p>
      <w:r>
        <w:rPr>
          <w:i/>
          <w:sz w:val="18"/>
        </w:rPr>
        <w:t>※ 認定率の分母は、逆算すると住民基本台帳の65歳以上人口を8〜89人上回る。基準日の違い（認定者数は10月1日、人口は4月1日）と、第1号被保険者数と住民基本台帳人口の定義差で説明できる範囲であるが、本計画で認定率を記載する際は分母の定義を明示する。</w:t>
      </w:r>
    </w:p>
    <w:p>
      <w:pPr>
        <w:pStyle w:val="Heading2"/>
      </w:pPr>
      <w:r>
        <w:t>3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ListBullet"/>
        <w:spacing w:after="0"/>
      </w:pPr>
      <w:r>
        <w:t>町の公式統計（前節）では、2025年7月31日時点で953人・認定率27.3％と過去最高に達している。4年間の増加が続いた直後に8か月で170人減少する変化は、介護予防施策や人口動態では説明できない。</w:t>
      </w:r>
    </w:p>
    <w:p>
      <w:pPr>
        <w:pStyle w:val="ListBullet"/>
        <w:spacing w:after="0"/>
      </w:pPr>
      <w:r>
        <w:t>20年（平成19年3月末〜令和8年3月末）の年度末系列でみても、増減が▲50人を超えるのは令和7年度のみである。他の年は▲6人〜＋39人の範囲にある（令和2年度の＋107人を除く）。</w:t>
      </w:r>
    </w:p>
    <w:p>
      <w:pPr>
        <w:pStyle w:val="Heading2"/>
      </w:pPr>
      <w:r>
        <w:t>4　減少の性質に関する検討</w:t>
      </w:r>
    </w:p>
    <w:p>
      <w:r>
        <w:t>年齢階層別・要介護度別の分解により、令和8年3月末の値の性質について次の2点が読み取れる。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観点</w:t>
            </w:r>
          </w:p>
        </w:tc>
        <w:tc>
          <w:tcPr>
            <w:tcW w:type="dxa" w:w="2880"/>
          </w:tcPr>
          <w:p>
            <w:r/>
            <w:r>
              <w:rPr>
                <w:rFonts w:ascii="游ゴシック" w:hAnsi="游ゴシック" w:eastAsia="游ゴシック"/>
                <w:b/>
                <w:sz w:val="18"/>
              </w:rPr>
              <w:t>データが示すこと</w:t>
            </w:r>
          </w:p>
        </w:tc>
        <w:tc>
          <w:tcPr>
            <w:tcW w:type="dxa" w:w="2880"/>
          </w:tcPr>
          <w:p>
            <w:r/>
            <w:r>
              <w:rPr>
                <w:rFonts w:ascii="游ゴシック" w:hAnsi="游ゴシック" w:eastAsia="游ゴシック"/>
                <w:b/>
                <w:sz w:val="18"/>
              </w:rPr>
              <w:t>解釈</w:t>
            </w:r>
          </w:p>
        </w:tc>
      </w:tr>
      <w:tr>
        <w:tc>
          <w:tcPr>
            <w:tcW w:type="dxa" w:w="2880"/>
          </w:tcPr>
          <w:p>
            <w:r/>
            <w:r>
              <w:rPr>
                <w:sz w:val="18"/>
              </w:rPr>
              <w:t>報告漏れ（集計途上）による暫定値か</w:t>
            </w:r>
          </w:p>
        </w:tc>
        <w:tc>
          <w:tcPr>
            <w:tcW w:type="dxa" w:w="2880"/>
          </w:tcPr>
          <w:p>
            <w:r/>
            <w:r>
              <w:rPr>
                <w:sz w:val="18"/>
              </w:rPr>
              <w:t>報告漏れであれば要介護度や年齢と無関係に減るはずだが、実際は要支援1の＋7.7％から要介護5の▲37.4％まで単調である。85歳以上に限っても同じ単調パターンが現れる</w:t>
            </w:r>
          </w:p>
        </w:tc>
        <w:tc>
          <w:tcPr>
            <w:tcW w:type="dxa" w:w="2880"/>
          </w:tcPr>
          <w:p>
            <w:r/>
            <w:r>
              <w:rPr>
                <w:sz w:val="18"/>
              </w:rPr>
              <w:t>**単純な報告漏れだけでは説明しにくい。**ただし特定の事業所・施設からの報告が遅れれば、重度者に偏った漏れが生じうるため、排除はできない</w:t>
            </w:r>
          </w:p>
        </w:tc>
      </w:tr>
      <w:tr>
        <w:tc>
          <w:tcPr>
            <w:tcW w:type="dxa" w:w="2880"/>
          </w:tcPr>
          <w:p>
            <w:r/>
            <w:r>
              <w:rPr>
                <w:sz w:val="18"/>
              </w:rPr>
              <w:t>**認定有効期間の運用の影響はないか**</w:t>
            </w:r>
          </w:p>
        </w:tc>
        <w:tc>
          <w:tcPr>
            <w:tcW w:type="dxa" w:w="2880"/>
          </w:tcPr>
          <w:p>
            <w:r/>
            <w:r>
              <w:rPr>
                <w:sz w:val="18"/>
              </w:rPr>
              <w:t>**令和2年度に＋107人（＋14.2％）の突出した増加がある。**新型コロナウイルス感染症に伴う要介護認定の有効期間の延長特例（令和2年2月〜）の時期と一致する。また令和3年4月からは更新認定の有効期間の上限が48か月に延長された</w:t>
            </w:r>
          </w:p>
        </w:tc>
        <w:tc>
          <w:tcPr>
            <w:tcW w:type="dxa" w:w="2880"/>
          </w:tcPr>
          <w:p>
            <w:r/>
            <w:r>
              <w:rPr>
                <w:sz w:val="18"/>
              </w:rPr>
              <w:t>**令和2年度以降に積み上がった認定が令和7年度に一斉に満了し、更新申請に至らなかった層がまとめて認定者から外れた可能性がある。**この場合、減少の一部は制度運用によるものとなる</w:t>
            </w:r>
          </w:p>
        </w:tc>
      </w:tr>
    </w:tbl>
    <w:p>
      <w:r>
        <w:t>第2の観点は、令和2年度の増加と令和7年度の減少を一つの機序で説明しうる点で検討に値する。ただし、令和2年度の＋107人がすべて特例による積み上がりであったとしても、その解消後の水準は平成19年〜令和2年のトレンド（13年で519人→754人、年平均約2.9％増）の延長線上、すなわち令和8年3月末で850〜900人程度と見込まれる。**実績値792人はこれを下回るため、特例の解消だけでは全額を説明できない。**</w:t>
      </w:r>
    </w:p>
    <w:p>
      <w:r>
        <w:rPr>
          <w:i/>
          <w:sz w:val="18"/>
        </w:rPr>
        <w:t>※ いずれの解釈でも、町の認定台帳による確認を要することに変わりはない。本データにより、確認の焦点は①85歳以上の認定者の令和7年度中の異動、②認定有効期間の運用（延長特例の適用状況と満了の時期）、の2点に絞られた。</w:t>
      </w:r>
    </w:p>
    <w:p>
      <w:pPr>
        <w:pStyle w:val="Heading2"/>
      </w:pPr>
      <w:r>
        <w:t>5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令和7年度末（令和8年3月末）時点の認定者数（要介護度別・年齢階層別）の実数</w:t>
            </w:r>
          </w:p>
        </w:tc>
        <w:tc>
          <w:tcPr>
            <w:tcW w:type="dxa" w:w="4320"/>
          </w:tcPr>
          <w:p>
            <w:r/>
            <w:r>
              <w:rPr>
                <w:sz w:val="18"/>
              </w:rPr>
              <w:t>見える化システムの値が集計途中の暫定値かどうかの判定</w:t>
            </w:r>
          </w:p>
        </w:tc>
      </w:tr>
      <w:tr>
        <w:tc>
          <w:tcPr>
            <w:tcW w:type="dxa" w:w="4320"/>
          </w:tcPr>
          <w:p>
            <w:r/>
            <w:r>
              <w:rPr>
                <w:sz w:val="18"/>
              </w:rPr>
              <w:t>**85歳以上の認定者の令和7年度中の異動の内訳**（死亡・転出・非該当・更新未申請）</w:t>
            </w:r>
          </w:p>
        </w:tc>
        <w:tc>
          <w:tcPr>
            <w:tcW w:type="dxa" w:w="4320"/>
          </w:tcPr>
          <w:p>
            <w:r/>
            <w:r>
              <w:rPr>
                <w:sz w:val="18"/>
              </w:rPr>
              <w:t>**減少の77.0％が85歳以上に集中していることの要因特定**</w:t>
            </w:r>
          </w:p>
        </w:tc>
      </w:tr>
      <w:tr>
        <w:tc>
          <w:tcPr>
            <w:tcW w:type="dxa" w:w="4320"/>
          </w:tcPr>
          <w:p>
            <w:r/>
            <w:r>
              <w:rPr>
                <w:sz w:val="18"/>
              </w:rPr>
              <w:t>**認定有効期間の延長特例（令和2〜4年度）の適用件数と、令和7年度の更新認定の申請・非該当・未申請の件数**</w:t>
            </w:r>
          </w:p>
        </w:tc>
        <w:tc>
          <w:tcPr>
            <w:tcW w:type="dxa" w:w="4320"/>
          </w:tcPr>
          <w:p>
            <w:r/>
            <w:r>
              <w:rPr>
                <w:sz w:val="18"/>
              </w:rPr>
              <w:t>**令和2年度の＋107人と令和7年度の▲152人を一つの機序で説明できるかの検証**</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6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7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8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認定率は令和7年3月末で県内2位と極めて高い一方、第1号被保険者1人あたり給付月額は在宅が23位、施設・居住系が30位と県内中位である。施設・居住系にいたっては県内中央値とまったく同じ水準にある。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でも高い方に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2"/>
      </w:pPr>
      <w:r>
        <w:t>5　令和7年度調査による未利用理由の把握</w:t>
      </w:r>
    </w:p>
    <w:p>
      <w:r>
        <w:t>令和7年度の在宅介護実態調査（n=366、郵送配布・回収）により、在宅の要介護認定者のうち介護保険サービスを利用していない者が42.1％（154人）であることが確認された。その理由は次のとおり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0.6％（1人）</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報告書はこれまで、認定と利用のギャップについて「利用支援が課題か供給確保が課題かを判別する必要がある」と整理してきたが、調査結果はそのいずれでもないことを示している。供給制約（利用したいサービスが利用できない、身近にない）を挙げた方は1人、費用は3.9％、手続きの分かりにくさは4.5％にとどまり、上位3つはいずれも需要側の要因である。</w:t>
      </w:r>
    </w:p>
    <w:p>
      <w:r>
        <w:t>すなわち、認定を受けているがサービスを必要とする状態に至っていない層、及び本人に利用意向がない層が多数である。これは調整後認定率の地域差指数1.24に対し受給率が1.07にとどまる構造と整合する。第10期では、供給確保よりも、①認定の運用の確認（サービス利用の必要が生じる前の申請の状況）、②本人の利用意向への働きかけ、③家族介護に依存する16.9％へのレスパイト、を優先する。</w:t>
      </w:r>
    </w:p>
    <w:p>
      <w:r>
        <w:rPr>
          <w:i/>
          <w:sz w:val="18"/>
        </w:rPr>
        <w:t>※ 本結果は未利用者154人の回答であり、現に利用している203人が供給に不満を持っていないことを示すものではない。居宅介護支援事業所5→3、訪問看護1事業所、短期入所系の自給率12.5ポイント低下という供給側の事実は依然として残る。未利用の理由としては供給制約が主因ではない、という限定的な結論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w:t>
      </w:r>
    </w:p>
    <w:p>
      <w:r>
        <w:t>ただし、令和7年度の介護予防・日常生活圏域ニーズ調査（n=1,835）では、介護予防教室・健康教室・ふれあい・共食・ミニサロン等の「介護予防のための通いの場」への参加頻度について、週1回以上が5.5％との回答があった。高齢者人口3,483人に換算すると約190人規模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見える化システムの「週1回以上の通いの場 0か所・参加率0.0％」という値と整合しない。同システムへの未登録の可能性が高いため、本報告書では介護予防の到達状況の評価を保留し、町の事業実績（実施箇所・参加者数・開催回数）による確認を求める。</w:t>
      </w:r>
    </w:p>
    <w:p>
      <w:r>
        <w:rPr>
          <w:i/>
          <w:sz w:val="18"/>
        </w:rPr>
        <w:t>※ ただし、調査の選択肢は国が定義する通いの場（住民主体・週1回以上）より範囲が広い可能性がある。また、参加していないが76.2％で大多数を占めること、調整済み軽度認定率が10.6％から15.2％へ上昇していること（第4章）に変わりはなく、介護予防の拡充が必要であるという方向は維持する。なお、調査の回収率は前回の77.7％から67.9％へ低下してい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2"/>
      </w:pPr>
      <w:r>
        <w:t>7　第9期計画の見込みとの対比</w:t>
      </w:r>
    </w:p>
    <w:p>
      <w:r>
        <w:t>第9期計画（令和6年3月策定）に記載された見込額・保険料算定と、本分析で確認した実績とを対比する。令和6年度以降の決算は未受領のため、実績欄は令和5年度までの値及び見える化システムの直近値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第9期計画の見込み（千円）</w:t>
            </w:r>
          </w:p>
        </w:tc>
        <w:tc>
          <w:tcPr>
            <w:tcW w:type="dxa" w:w="2160"/>
          </w:tcPr>
          <w:p>
            <w:r/>
            <w:r>
              <w:rPr>
                <w:rFonts w:ascii="游ゴシック" w:hAnsi="游ゴシック" w:eastAsia="游ゴシック"/>
                <w:b/>
                <w:sz w:val="18"/>
              </w:rPr>
              <w:t>実績・分析結果</w:t>
            </w:r>
          </w:p>
        </w:tc>
        <w:tc>
          <w:tcPr>
            <w:tcW w:type="dxa" w:w="2160"/>
          </w:tcPr>
          <w:p>
            <w:r/>
            <w:r>
              <w:rPr>
                <w:rFonts w:ascii="游ゴシック" w:hAnsi="游ゴシック" w:eastAsia="游ゴシック"/>
                <w:b/>
                <w:sz w:val="18"/>
              </w:rPr>
              <w:t>評価の視点</w:t>
            </w:r>
          </w:p>
        </w:tc>
      </w:tr>
      <w:tr>
        <w:tc>
          <w:tcPr>
            <w:tcW w:type="dxa" w:w="2160"/>
          </w:tcPr>
          <w:p>
            <w:r/>
            <w:r>
              <w:rPr>
                <w:sz w:val="18"/>
              </w:rPr>
              <w:t>標準給付費見込額</w:t>
            </w:r>
          </w:p>
        </w:tc>
        <w:tc>
          <w:tcPr>
            <w:tcW w:type="dxa" w:w="2160"/>
          </w:tcPr>
          <w:p>
            <w:r/>
            <w:r>
              <w:rPr>
                <w:sz w:val="18"/>
              </w:rPr>
              <w:t>R6 1,185,894／R7 1,189,712／R8 1,190,880（3年計 3,566,486）</w:t>
            </w:r>
          </w:p>
        </w:tc>
        <w:tc>
          <w:tcPr>
            <w:tcW w:type="dxa" w:w="2160"/>
          </w:tcPr>
          <w:p>
            <w:r/>
            <w:r>
              <w:rPr>
                <w:sz w:val="18"/>
              </w:rPr>
              <w:t>令和5年度の保険給付費決算は1,106.0百万円。平成29年度をピークにほぼ横ばい</w:t>
            </w:r>
          </w:p>
        </w:tc>
        <w:tc>
          <w:tcPr>
            <w:tcW w:type="dxa" w:w="2160"/>
          </w:tcPr>
          <w:p>
            <w:r/>
            <w:r>
              <w:rPr>
                <w:sz w:val="18"/>
              </w:rPr>
              <w:t>第9期はR5実績を約7％上回る水準で横ばいに見込んでいる。受給率が低下傾向にあることを踏まえると、下振れの可能性がある</w:t>
            </w:r>
          </w:p>
        </w:tc>
      </w:tr>
      <w:tr>
        <w:tc>
          <w:tcPr>
            <w:tcW w:type="dxa" w:w="2160"/>
          </w:tcPr>
          <w:p>
            <w:r/>
            <w:r>
              <w:rPr>
                <w:sz w:val="18"/>
              </w:rPr>
              <w:t xml:space="preserve">　うち総給付費</w:t>
            </w:r>
          </w:p>
        </w:tc>
        <w:tc>
          <w:tcPr>
            <w:tcW w:type="dxa" w:w="2160"/>
          </w:tcPr>
          <w:p>
            <w:r/>
            <w:r>
              <w:rPr>
                <w:sz w:val="18"/>
              </w:rPr>
              <w:t>R6 1,106,604／R7 1,110,764／R8 1,112,373</w:t>
            </w:r>
          </w:p>
        </w:tc>
        <w:tc>
          <w:tcPr>
            <w:tcW w:type="dxa" w:w="2160"/>
          </w:tcPr>
          <w:p>
            <w:r/>
            <w:r>
              <w:rPr>
                <w:sz w:val="18"/>
              </w:rPr>
              <w:t>―</w:t>
            </w:r>
          </w:p>
        </w:tc>
        <w:tc>
          <w:tcPr>
            <w:tcW w:type="dxa" w:w="2160"/>
          </w:tcPr>
          <w:p>
            <w:r/>
            <w:r>
              <w:rPr>
                <w:sz w:val="18"/>
              </w:rPr>
              <w:t>―</w:t>
            </w:r>
          </w:p>
        </w:tc>
      </w:tr>
      <w:tr>
        <w:tc>
          <w:tcPr>
            <w:tcW w:type="dxa" w:w="2160"/>
          </w:tcPr>
          <w:p>
            <w:r/>
            <w:r>
              <w:rPr>
                <w:sz w:val="18"/>
              </w:rPr>
              <w:t xml:space="preserve">　うち特定入所者介護サービス費等</w:t>
            </w:r>
          </w:p>
        </w:tc>
        <w:tc>
          <w:tcPr>
            <w:tcW w:type="dxa" w:w="2160"/>
          </w:tcPr>
          <w:p>
            <w:r/>
            <w:r>
              <w:rPr>
                <w:sz w:val="18"/>
              </w:rPr>
              <w:t>R6 52,077／R7 51,854／R8 51,564（逓減で見込み）</w:t>
            </w:r>
          </w:p>
        </w:tc>
        <w:tc>
          <w:tcPr>
            <w:tcW w:type="dxa" w:w="2160"/>
          </w:tcPr>
          <w:p>
            <w:r/>
            <w:r>
              <w:rPr>
                <w:sz w:val="18"/>
              </w:rPr>
              <w:t>平成26年度32.7百万円→令和5年度52.9百万円（＋61.8％）と増加傾向</w:t>
            </w:r>
          </w:p>
        </w:tc>
        <w:tc>
          <w:tcPr>
            <w:tcW w:type="dxa" w:w="2160"/>
          </w:tcPr>
          <w:p>
            <w:r/>
            <w:r>
              <w:rPr>
                <w:sz w:val="18"/>
              </w:rPr>
              <w:t>見込みは横ばい〜逓減だが実績は増加基調。施設・居住系の利用動向と補足給付の関係を再確認する</w:t>
            </w:r>
          </w:p>
        </w:tc>
      </w:tr>
      <w:tr>
        <w:tc>
          <w:tcPr>
            <w:tcW w:type="dxa" w:w="2160"/>
          </w:tcPr>
          <w:p>
            <w:r/>
            <w:r>
              <w:rPr>
                <w:sz w:val="18"/>
              </w:rPr>
              <w:t>地域支援事業費見込額</w:t>
            </w:r>
          </w:p>
        </w:tc>
        <w:tc>
          <w:tcPr>
            <w:tcW w:type="dxa" w:w="2160"/>
          </w:tcPr>
          <w:p>
            <w:r/>
            <w:r>
              <w:rPr>
                <w:sz w:val="18"/>
              </w:rPr>
              <w:t>R6 67,320／R7 69,120／R8 70,820（3年計 207,260）</w:t>
            </w:r>
          </w:p>
        </w:tc>
        <w:tc>
          <w:tcPr>
            <w:tcW w:type="dxa" w:w="2160"/>
          </w:tcPr>
          <w:p>
            <w:r/>
            <w:r>
              <w:rPr>
                <w:sz w:val="18"/>
              </w:rPr>
              <w:t>令和5年度決算は63.4百万円</w:t>
            </w:r>
          </w:p>
        </w:tc>
        <w:tc>
          <w:tcPr>
            <w:tcW w:type="dxa" w:w="2160"/>
          </w:tcPr>
          <w:p>
            <w:r/>
            <w:r>
              <w:rPr>
                <w:sz w:val="18"/>
              </w:rPr>
              <w:t>見込みは実績を上回る設定。特に総合事業費の執行状況を確認する</w:t>
            </w:r>
          </w:p>
        </w:tc>
      </w:tr>
      <w:tr>
        <w:tc>
          <w:tcPr>
            <w:tcW w:type="dxa" w:w="2160"/>
          </w:tcPr>
          <w:p>
            <w:r/>
            <w:r>
              <w:rPr>
                <w:sz w:val="18"/>
              </w:rPr>
              <w:t xml:space="preserve">　うち介護予防・日常生活支援総合事業費</w:t>
            </w:r>
          </w:p>
        </w:tc>
        <w:tc>
          <w:tcPr>
            <w:tcW w:type="dxa" w:w="2160"/>
          </w:tcPr>
          <w:p>
            <w:r/>
            <w:r>
              <w:rPr>
                <w:sz w:val="18"/>
              </w:rPr>
              <w:t>R6 36,220／R7 37,020／R8 37,720</w:t>
            </w:r>
          </w:p>
        </w:tc>
        <w:tc>
          <w:tcPr>
            <w:tcW w:type="dxa" w:w="2160"/>
          </w:tcPr>
          <w:p>
            <w:r/>
            <w:r>
              <w:rPr>
                <w:sz w:val="18"/>
              </w:rPr>
              <w:t>令和5年度の介護予防・生活支援サービス事業費34.7百万円、一般介護予防事業費1.0百万円</w:t>
            </w:r>
          </w:p>
        </w:tc>
        <w:tc>
          <w:tcPr>
            <w:tcW w:type="dxa" w:w="2160"/>
          </w:tcPr>
          <w:p>
            <w:r/>
            <w:r>
              <w:rPr>
                <w:sz w:val="18"/>
              </w:rPr>
              <w:t>総合事業費のほぼ全額が訪問型・通所型サービスであり、一般介護予防（通いの場等）はほぼ計上されていない。第6章の通いの場0か所と整合する</w:t>
            </w:r>
          </w:p>
        </w:tc>
      </w:tr>
      <w:tr>
        <w:tc>
          <w:tcPr>
            <w:tcW w:type="dxa" w:w="2160"/>
          </w:tcPr>
          <w:p>
            <w:r/>
            <w:r>
              <w:rPr>
                <w:sz w:val="18"/>
              </w:rPr>
              <w:t xml:space="preserve">　うち包括的支援事業・任意事業費</w:t>
            </w:r>
          </w:p>
        </w:tc>
        <w:tc>
          <w:tcPr>
            <w:tcW w:type="dxa" w:w="2160"/>
          </w:tcPr>
          <w:p>
            <w:r/>
            <w:r>
              <w:rPr>
                <w:sz w:val="18"/>
              </w:rPr>
              <w:t>R6 24,000／R7 25,000／R8 26,000（社会保障充実分は各年7,100）</w:t>
            </w:r>
          </w:p>
        </w:tc>
        <w:tc>
          <w:tcPr>
            <w:tcW w:type="dxa" w:w="2160"/>
          </w:tcPr>
          <w:p>
            <w:r/>
            <w:r>
              <w:rPr>
                <w:sz w:val="18"/>
              </w:rPr>
              <w:t>令和5年度決算は27.6百万円（社会保障充実分を含む）</w:t>
            </w:r>
          </w:p>
        </w:tc>
        <w:tc>
          <w:tcPr>
            <w:tcW w:type="dxa" w:w="2160"/>
          </w:tcPr>
          <w:p>
            <w:r/>
            <w:r>
              <w:rPr>
                <w:sz w:val="18"/>
              </w:rPr>
              <w:t>見込みと実績はおおむね整合</w:t>
            </w:r>
          </w:p>
        </w:tc>
      </w:tr>
      <w:tr>
        <w:tc>
          <w:tcPr>
            <w:tcW w:type="dxa" w:w="2160"/>
          </w:tcPr>
          <w:p>
            <w:r/>
            <w:r>
              <w:rPr>
                <w:sz w:val="18"/>
              </w:rPr>
              <w:t>介護給付費準備基金の取崩</w:t>
            </w:r>
          </w:p>
        </w:tc>
        <w:tc>
          <w:tcPr>
            <w:tcW w:type="dxa" w:w="2160"/>
          </w:tcPr>
          <w:p>
            <w:r/>
            <w:r>
              <w:rPr>
                <w:sz w:val="18"/>
              </w:rPr>
              <w:t>3年間で35,000（保険料収納必要額832,562千円→797,563千円）</w:t>
            </w:r>
          </w:p>
        </w:tc>
        <w:tc>
          <w:tcPr>
            <w:tcW w:type="dxa" w:w="2160"/>
          </w:tcPr>
          <w:p>
            <w:r/>
            <w:r>
              <w:rPr>
                <w:sz w:val="18"/>
              </w:rPr>
              <w:t>平成26〜令和5年度の取崩は19.9百万円のみ（H26・H29の2回）。同期間に108.0百万円を積立、純増88.1百万円</w:t>
            </w:r>
          </w:p>
        </w:tc>
        <w:tc>
          <w:tcPr>
            <w:tcW w:type="dxa" w:w="2160"/>
          </w:tcPr>
          <w:p>
            <w:r/>
            <w:r>
              <w:rPr>
                <w:sz w:val="18"/>
              </w:rPr>
              <w:t>第9期に計画どおり3,500万円を取り崩したかを令和6・7年度決算で確認する。繰越金も182.0百万円まで積み上がっており、取崩の要否を含めて検証する</w:t>
            </w:r>
          </w:p>
        </w:tc>
      </w:tr>
      <w:tr>
        <w:tc>
          <w:tcPr>
            <w:tcW w:type="dxa" w:w="2160"/>
          </w:tcPr>
          <w:p>
            <w:r/>
            <w:r>
              <w:rPr>
                <w:sz w:val="18"/>
              </w:rPr>
              <w:t>保険料基準額</w:t>
            </w:r>
          </w:p>
        </w:tc>
        <w:tc>
          <w:tcPr>
            <w:tcW w:type="dxa" w:w="2160"/>
          </w:tcPr>
          <w:p>
            <w:r/>
            <w:r>
              <w:rPr>
                <w:sz w:val="18"/>
              </w:rPr>
              <w:t>算定値は月額6,886円。基金取崩により6,597円となり、100円未満切上げで最終 年額79,200円・月額6,600円。予定収納率99.40％</w:t>
            </w:r>
          </w:p>
        </w:tc>
        <w:tc>
          <w:tcPr>
            <w:tcW w:type="dxa" w:w="2160"/>
          </w:tcPr>
          <w:p>
            <w:r/>
            <w:r>
              <w:rPr>
                <w:sz w:val="18"/>
              </w:rPr>
              <w:t>平成30年度以降6,600円で据置。見える化の必要保険料月額は令和7年度6,131円</w:t>
            </w:r>
          </w:p>
        </w:tc>
        <w:tc>
          <w:tcPr>
            <w:tcW w:type="dxa" w:w="2160"/>
          </w:tcPr>
          <w:p>
            <w:r/>
            <w:r>
              <w:rPr>
                <w:sz w:val="18"/>
              </w:rPr>
              <w:t>第9期は基金取崩により据置を実現した形。第10期は繰越金・基金の水準を踏まえ、据置・引下げ・取崩の判断が論点となる</w:t>
            </w:r>
          </w:p>
        </w:tc>
      </w:tr>
      <w:tr>
        <w:tc>
          <w:tcPr>
            <w:tcW w:type="dxa" w:w="2160"/>
          </w:tcPr>
          <w:p>
            <w:r/>
            <w:r>
              <w:rPr>
                <w:sz w:val="18"/>
              </w:rPr>
              <w:t>所得段階別保険料率</w:t>
            </w:r>
          </w:p>
        </w:tc>
        <w:tc>
          <w:tcPr>
            <w:tcW w:type="dxa" w:w="2160"/>
          </w:tcPr>
          <w:p>
            <w:r/>
            <w:r>
              <w:rPr>
                <w:sz w:val="18"/>
              </w:rPr>
              <w:t>第1段階0.285（22,600円）、第2段階0.485（38,500円）、第3段階0.685（54,300円）、第4段階0.900（71,300円）。13段階</w:t>
            </w:r>
          </w:p>
        </w:tc>
        <w:tc>
          <w:tcPr>
            <w:tcW w:type="dxa" w:w="2160"/>
          </w:tcPr>
          <w:p>
            <w:r/>
            <w:r>
              <w:rPr>
                <w:sz w:val="18"/>
              </w:rPr>
              <w:t>**所得第1〜3段階の割合は31.8％（1,094人／3,443人。年報 様式1 所得段階別の令和7年度末）。**低所得者保険料軽減の繰入金は平成27年度2.1百万円→令和5年度16.5百万円</w:t>
            </w:r>
          </w:p>
        </w:tc>
        <w:tc>
          <w:tcPr>
            <w:tcW w:type="dxa" w:w="2160"/>
          </w:tcPr>
          <w:p>
            <w:r/>
            <w:r>
              <w:rPr>
                <w:sz w:val="18"/>
              </w:rPr>
              <w:t>第10期の段階設定と軽減強化の検討に用いる</w:t>
            </w:r>
          </w:p>
        </w:tc>
      </w:tr>
      <w:tr>
        <w:tc>
          <w:tcPr>
            <w:tcW w:type="dxa" w:w="2160"/>
          </w:tcPr>
          <w:p>
            <w:r/>
            <w:r>
              <w:rPr>
                <w:sz w:val="18"/>
              </w:rPr>
              <w:t>施設サービスの見込み</w:t>
            </w:r>
          </w:p>
        </w:tc>
        <w:tc>
          <w:tcPr>
            <w:tcW w:type="dxa" w:w="2160"/>
          </w:tcPr>
          <w:p>
            <w:r/>
            <w:r>
              <w:rPr>
                <w:sz w:val="18"/>
              </w:rPr>
              <w:t>介護老人福祉施設62人（187,243）、介護老人保健施設24人（81,076）、介護医療院0人</w:t>
            </w:r>
          </w:p>
        </w:tc>
        <w:tc>
          <w:tcPr>
            <w:tcW w:type="dxa" w:w="2160"/>
          </w:tcPr>
          <w:p>
            <w:r/>
            <w:r>
              <w:rPr>
                <w:sz w:val="18"/>
              </w:rPr>
              <w:t>施設受給者数は129人（令和8年1月）。町内の施設定員は112人、自給率59.74％</w:t>
            </w:r>
          </w:p>
        </w:tc>
        <w:tc>
          <w:tcPr>
            <w:tcW w:type="dxa" w:w="2160"/>
          </w:tcPr>
          <w:p>
            <w:r/>
            <w:r>
              <w:rPr>
                <w:sz w:val="18"/>
              </w:rPr>
              <w:t>見込人数と受給者数の差は町外施設の利用による。第5章の自給率分析と整合する</w:t>
            </w:r>
          </w:p>
        </w:tc>
      </w:tr>
    </w:tbl>
    <w:p>
      <w:r>
        <w:rPr>
          <w:i/>
          <w:sz w:val="18"/>
        </w:rPr>
        <w:t>※ 第9期計画は「新規施設整備は原則行わず、地域密着型サービス・居宅サービスの充実を基本とする」方針である。一方で認知症対応型共同生活介護の定員は令和4年度71人から令和6年度98人へ27人増えており（第5章4）、第9期評価においてこの整合を整理する必要がある。</w:t>
      </w:r>
    </w:p>
    <w:p>
      <w:pPr>
        <w:pStyle w:val="Heading1"/>
      </w:pPr>
      <w:r>
        <w:t>第8章　第10期に向けた分析上の示唆</w:t>
      </w:r>
    </w:p>
    <w:p>
      <w:r>
        <w:t>委託仕様書4(1)②は、給付費等の分析により「今後の見通しや具体的施策を検討する」ことを求めている。本章では、分析結果を論点別に整理したうえで、第9期計画の施策群への対応と、関連計画との役割分担を示す。</w:t>
      </w:r>
    </w:p>
    <w:p>
      <w:pPr>
        <w:pStyle w:val="Heading2"/>
      </w:pPr>
      <w:r>
        <w:t>1　論点別の分析結果と第10期での扱い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令和7年度調査では在宅の認定者の42.1％がサービス未利用で、理由は需要側（状態ではない46.8％、本人の希望なし29.2％、家族が介護16.9％）が上位を占め、供給側の理由を挙げた方は1人</w:t>
            </w:r>
          </w:p>
        </w:tc>
        <w:tc>
          <w:tcPr>
            <w:tcW w:type="dxa" w:w="2880"/>
          </w:tcPr>
          <w:p>
            <w:r/>
            <w:r>
              <w:rPr>
                <w:sz w:val="18"/>
              </w:rPr>
              <w:t>**原因は需要側にある。**認定の運用の確認、本人の利用意向への働きかけ、家族介護に依存する層へのレスパイトを優先し、供給確保の優先度は下げる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pPr>
        <w:pStyle w:val="Heading2"/>
      </w:pPr>
      <w:r>
        <w:t>2　第9期計画の施策体系との対応</w:t>
      </w:r>
    </w:p>
    <w:p>
      <w:r>
        <w:t>第9期計画は、基本理念「健康で自分らしく暮らせるまち」のもとに3つの基本目標と14の施策を置いている。分析結果を各施策に対応させると次のとおりである。評価は、分析結果から施策の到達状況を読み取れるもののみを記載し、分析対象外のものは「本分析の対象外」と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分析結果からみた状況</w:t>
            </w:r>
          </w:p>
        </w:tc>
        <w:tc>
          <w:tcPr>
            <w:tcW w:type="dxa" w:w="2160"/>
          </w:tcPr>
          <w:p>
            <w:r/>
            <w:r>
              <w:rPr>
                <w:rFonts w:ascii="游ゴシック" w:hAnsi="游ゴシック" w:eastAsia="游ゴシック"/>
                <w:b/>
                <w:sz w:val="18"/>
              </w:rPr>
              <w:t>第10期での扱い</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本分析の対象外（保健事業の実績による評価が必要）</w:t>
            </w:r>
          </w:p>
        </w:tc>
        <w:tc>
          <w:tcPr>
            <w:tcW w:type="dxa" w:w="2160"/>
          </w:tcPr>
          <w:p>
            <w:r/>
            <w:r>
              <w:rPr>
                <w:sz w:val="18"/>
              </w:rPr>
              <w:t>国保・後期高齢者医療の保健事業と一体的実施の実績で評価する</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一般介護予防事業費は令和5年度で1.0百万円。見える化では週1回以上の通いの場は0か所だが、令和7年度調査では週1回以上の参加が5.5％との回答があり整合しない。参加していないは76.2％。リスク該当率は10項目中8項目で改善したが、回収率が77.7％→67.9％へ低下している点に留意</w:t>
            </w:r>
          </w:p>
        </w:tc>
        <w:tc>
          <w:tcPr>
            <w:tcW w:type="dxa" w:w="2160"/>
          </w:tcPr>
          <w:p>
            <w:r/>
            <w:r>
              <w:rPr>
                <w:sz w:val="18"/>
              </w:rPr>
              <w:t>強化。ただし通いの場の実績を町に確認するまで評価は保留。参加意向は50.9％あり、参加条件は開催場所・時間63.7％、料金53.4％、効果48.3％。住民主体にこだわらない開設方式を検討する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本分析の対象外（就労・交流事業の実績による評価が必要）</w:t>
            </w:r>
          </w:p>
        </w:tc>
        <w:tc>
          <w:tcPr>
            <w:tcW w:type="dxa" w:w="2160"/>
          </w:tcPr>
          <w:p>
            <w:r/>
            <w:r>
              <w:rPr>
                <w:sz w:val="18"/>
              </w:rPr>
              <w:t>老人クラブ・シルバー人材センター等の実績で評価する</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本分析の対象外</w:t>
            </w:r>
          </w:p>
        </w:tc>
        <w:tc>
          <w:tcPr>
            <w:tcW w:type="dxa" w:w="2160"/>
          </w:tcPr>
          <w:p>
            <w:r/>
            <w:r>
              <w:rPr>
                <w:sz w:val="18"/>
              </w:rPr>
              <w:t>第3期地域福祉計画と連携。本計画では生活支援体制整備事業に絞る（本章3参照）</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居宅介護支援事業所が5から3に減少。人口10万人あたり事業所数の偏差値47.84。認定率は県内でも高い方にありながら給付月額は県内中位で、認定と利用のギャップがある</w:t>
            </w:r>
          </w:p>
        </w:tc>
        <w:tc>
          <w:tcPr>
            <w:tcW w:type="dxa" w:w="2160"/>
          </w:tcPr>
          <w:p>
            <w:r/>
            <w:r>
              <w:rPr>
                <w:sz w:val="18"/>
              </w:rPr>
              <w:t>強化。ケアマネジメント基盤の確保と、認定後に利用へつなぐ支援を施策化する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本分析の対象外</w:t>
            </w:r>
          </w:p>
        </w:tc>
        <w:tc>
          <w:tcPr>
            <w:tcW w:type="dxa" w:w="2160"/>
          </w:tcPr>
          <w:p>
            <w:r/>
            <w:r>
              <w:rPr>
                <w:sz w:val="18"/>
              </w:rPr>
              <w:t>第3期地域福祉計画に移管（同計画第5章が成年後見制度利用促進基本計画）。本計画では認知症高齢者の意思決定支援の観点から連携先として記載する</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は68人から148人、Mは7人から29人へ増加。推進員は1人から4人へ増員（県内19位）だが、初期集中支援チームの訪問実績は0件、認知症カフェは1か所で横ばい。認知症対応型共同生活介護の給付月額257,430円は全サービス中最高単価</w:t>
            </w:r>
          </w:p>
        </w:tc>
        <w:tc>
          <w:tcPr>
            <w:tcW w:type="dxa" w:w="2160"/>
          </w:tcPr>
          <w:p>
            <w:r/>
            <w:r>
              <w:rPr>
                <w:sz w:val="18"/>
              </w:rPr>
              <w:t>強化。認知症施策推進基本計画に基づく市町村計画として包含し、整備した体制を活動実績に結びつける設計とする</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本分析の対象外</w:t>
            </w:r>
          </w:p>
        </w:tc>
        <w:tc>
          <w:tcPr>
            <w:tcW w:type="dxa" w:w="2160"/>
          </w:tcPr>
          <w:p>
            <w:r/>
            <w:r>
              <w:rPr>
                <w:sz w:val="18"/>
              </w:rPr>
              <w:t>第3期地域福祉計画と連携。本計画では介護サービス事業所における虐待防止（運営基準）に絞る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本分析の対象外</w:t>
            </w:r>
          </w:p>
        </w:tc>
        <w:tc>
          <w:tcPr>
            <w:tcW w:type="dxa" w:w="2160"/>
          </w:tcPr>
          <w:p>
            <w:r/>
            <w:r>
              <w:rPr>
                <w:sz w:val="18"/>
              </w:rPr>
              <w:t>第3期地域福祉計画・地域防災計画と連携。本計画では避難行動要支援者名簿・個別避難計画・福祉避難所に絞る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短期入所系の自給率が12.5ポイント低下し、町内での受入が縮小。居宅（医療系）サービス事業所数の偏差値は41.49で訪問看護は1事業所</w:t>
            </w:r>
          </w:p>
        </w:tc>
        <w:tc>
          <w:tcPr>
            <w:tcW w:type="dxa" w:w="2160"/>
          </w:tcPr>
          <w:p>
            <w:r/>
            <w:r>
              <w:rPr>
                <w:sz w:val="18"/>
              </w:rPr>
              <w:t>強化（一部連携）。レスパイト機能の確保と移送・外出支援を具体化する。生活基盤・交通利便性は地域福祉計画及び地域公共交通計画と接続する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居宅介護支援事業所5→3、訪問看護1事業所など、在宅系の供給基盤が縮小している。町内事業所の休廃止状況の確認が必要</w:t>
            </w:r>
          </w:p>
        </w:tc>
        <w:tc>
          <w:tcPr>
            <w:tcW w:type="dxa" w:w="2160"/>
          </w:tcPr>
          <w:p>
            <w:r/>
            <w:r>
              <w:rPr>
                <w:sz w:val="18"/>
              </w:rPr>
              <w:t>継続。地域医療介護総合確保基金・県事業の活用状況と併せて設計する</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実質収支は10年連続プラス。繰越金は保険給付費の16.5％に達し、準備基金も88.1百万円純増。保険給付費は平成29年度をピークにほぼ横ばい</w:t>
            </w:r>
          </w:p>
        </w:tc>
        <w:tc>
          <w:tcPr>
            <w:tcW w:type="dxa" w:w="2160"/>
          </w:tcPr>
          <w:p>
            <w:r/>
            <w:r>
              <w:rPr>
                <w:sz w:val="18"/>
              </w:rPr>
              <w:t>継続。ただし給付抑制の成果としてではなく、認定と利用のギャップの裏返しである可能性を踏まえて評価する</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在宅受給率が12.2％から10.3％、在宅サービス利用率が59.3％から44.1％へ低下。令和7年度調査では在宅の認定者の42.1％が未利用で、理由の上位3つは需要側、供給側は各1人（0.6％）</w:t>
            </w:r>
          </w:p>
        </w:tc>
        <w:tc>
          <w:tcPr>
            <w:tcW w:type="dxa" w:w="2160"/>
          </w:tcPr>
          <w:p>
            <w:r/>
            <w:r>
              <w:rPr>
                <w:sz w:val="18"/>
              </w:rPr>
              <w:t>強化。①認定の運用の確認、②本人の利用意向への働きかけ、③家族介護に依存する16.9％へのレスパイト、に組み替える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第9期は基金3,500万円の取崩により保険料を6,886円から6,600円に据え置いた。その後も繰越金182.0百万円・基金純増88.1百万円が積み上がっている</w:t>
            </w:r>
          </w:p>
        </w:tc>
        <w:tc>
          <w:tcPr>
            <w:tcW w:type="dxa" w:w="2160"/>
          </w:tcPr>
          <w:p>
            <w:r/>
            <w:r>
              <w:rPr>
                <w:sz w:val="18"/>
              </w:rPr>
              <w:t>継続。第10期は繰越金・基金の水準を踏まえた保険料設定が最大の論点となる</w:t>
            </w:r>
          </w:p>
        </w:tc>
      </w:tr>
    </w:tbl>
    <w:p>
      <w:r>
        <w:rPr>
          <w:i/>
          <w:sz w:val="18"/>
        </w:rPr>
        <w:t>※ 施策の区分・名称は第9期計画本文（令和6年3月）による。「本分析の対象外」とした施策は、給付費等の分析からは到達状況を判定できないもので、町の事業実績及び令和7年度調査結果により評価する。</w:t>
      </w:r>
    </w:p>
    <w:p>
      <w:pPr>
        <w:pStyle w:val="Heading2"/>
      </w:pPr>
      <w:r>
        <w:t>3　関連計画との役割分担を踏まえた整理</w:t>
      </w:r>
    </w:p>
    <w:p>
      <w:r>
        <w:t>第3期地域福祉計画（令和8年3月策定、令和8〜12年度）は、基本理念「ともに助け合い・支え合い、みんなが笑顔で元気に暮らせる 小野町」のもとに3つの基本目標を置き、福祉分野の最上位計画として横断的な施策を整理している。同計画は第5章に「小野町第1期成年後見制度利用促進基本計画」を一体的に策定している点が第2期からの大きな変更であり、第9期高齢者計画の施策と重複が生じている。</w:t>
      </w:r>
    </w:p>
    <w:p>
      <w:r>
        <w:t>第9期高齢者計画の基本目標2に置かれた8施策のうち5施策が同計画と重複する。重複箇所と第10期での扱いは次のとおりである。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第10期での扱い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一方、地域福祉計画にも高齢者に関する記載があり、本分析の結果を踏まえて本計画で具体化すべき事項は次のとおりである。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地域福祉計画の記載</w:t>
            </w:r>
          </w:p>
        </w:tc>
        <w:tc>
          <w:tcPr>
            <w:tcW w:type="dxa" w:w="2880"/>
          </w:tcPr>
          <w:p>
            <w:r/>
            <w:r>
              <w:rPr>
                <w:rFonts w:ascii="游ゴシック" w:hAnsi="游ゴシック" w:eastAsia="游ゴシック"/>
                <w:b/>
                <w:sz w:val="18"/>
              </w:rPr>
              <w:t>本計画で具体化する内容</w:t>
            </w:r>
          </w:p>
        </w:tc>
        <w:tc>
          <w:tcPr>
            <w:tcW w:type="dxa" w:w="2880"/>
          </w:tcPr>
          <w:p>
            <w:r/>
            <w:r>
              <w:rPr>
                <w:rFonts w:ascii="游ゴシック" w:hAnsi="游ゴシック" w:eastAsia="游ゴシック"/>
                <w:b/>
                <w:sz w:val="18"/>
              </w:rPr>
              <w:t>根拠となる分析結果</w:t>
            </w:r>
          </w:p>
        </w:tc>
      </w:tr>
      <w:tr>
        <w:tc>
          <w:tcPr>
            <w:tcW w:type="dxa" w:w="2880"/>
          </w:tcPr>
          <w:p>
            <w:r/>
            <w:r>
              <w:rPr>
                <w:sz w:val="18"/>
              </w:rPr>
              <w:t>基本目標1　推進施策1②　高齢者一人ひとりの生活機能の向上に向けたサービス提供</w:t>
            </w:r>
          </w:p>
        </w:tc>
        <w:tc>
          <w:tcPr>
            <w:tcW w:type="dxa" w:w="2880"/>
          </w:tcPr>
          <w:p>
            <w:r/>
            <w:r>
              <w:rPr>
                <w:sz w:val="18"/>
              </w:rPr>
              <w:t>介護予防・日常生活支援総合事業、一般介護予防事業、通いの場の立ち上げ、介護予防ケアマネジメント</w:t>
            </w:r>
          </w:p>
        </w:tc>
        <w:tc>
          <w:tcPr>
            <w:tcW w:type="dxa" w:w="2880"/>
          </w:tcPr>
          <w:p>
            <w:r/>
            <w:r>
              <w:rPr>
                <w:sz w:val="18"/>
              </w:rPr>
              <w:t>第6章1（週1回以上の通いの場0か所、一般介護予防事業費1.0百万円）、第4章（調整済み軽度認定率10.6％→15.2％）</w:t>
            </w:r>
          </w:p>
        </w:tc>
      </w:tr>
      <w:tr>
        <w:tc>
          <w:tcPr>
            <w:tcW w:type="dxa" w:w="2880"/>
          </w:tcPr>
          <w:p>
            <w:r/>
            <w:r>
              <w:rPr>
                <w:sz w:val="18"/>
              </w:rPr>
              <w:t>基本目標2　推進施策2②　高齢者の介護マネジメント</w:t>
            </w:r>
          </w:p>
        </w:tc>
        <w:tc>
          <w:tcPr>
            <w:tcW w:type="dxa" w:w="2880"/>
          </w:tcPr>
          <w:p>
            <w:r/>
            <w:r>
              <w:rPr>
                <w:sz w:val="18"/>
              </w:rPr>
              <w:t>地域包括支援センターの体制強化、居宅介護支援事業所の確保、認定と利用をつなぐ支援</w:t>
            </w:r>
          </w:p>
        </w:tc>
        <w:tc>
          <w:tcPr>
            <w:tcW w:type="dxa" w:w="2880"/>
          </w:tcPr>
          <w:p>
            <w:r/>
            <w:r>
              <w:rPr>
                <w:sz w:val="18"/>
              </w:rPr>
              <w:t>第5章1（居宅介護支援事業所5→3）、第4章3（認定率の地域差指数1.24に対し受給率1.07）</w:t>
            </w:r>
          </w:p>
        </w:tc>
      </w:tr>
      <w:tr>
        <w:tc>
          <w:tcPr>
            <w:tcW w:type="dxa" w:w="2880"/>
          </w:tcPr>
          <w:p>
            <w:r/>
            <w:r>
              <w:rPr>
                <w:sz w:val="18"/>
              </w:rPr>
              <w:t>基本目標3　推進施策2①　ひとり暮らし高齢者等の緊急時への対応</w:t>
            </w:r>
          </w:p>
        </w:tc>
        <w:tc>
          <w:tcPr>
            <w:tcW w:type="dxa" w:w="2880"/>
          </w:tcPr>
          <w:p>
            <w:r/>
            <w:r>
              <w:rPr>
                <w:sz w:val="18"/>
              </w:rPr>
              <w:t>緊急時の受入体制、短期入所、24時間対応の在宅サービス</w:t>
            </w:r>
          </w:p>
        </w:tc>
        <w:tc>
          <w:tcPr>
            <w:tcW w:type="dxa" w:w="2880"/>
          </w:tcPr>
          <w:p>
            <w:r/>
            <w:r>
              <w:rPr>
                <w:sz w:val="18"/>
              </w:rPr>
              <w:t>第5章2（短期入所系の自給率が12.5ポイント低下）、第5章3（居宅（医療系）サービス事業所数の偏差値41.49）</w:t>
            </w:r>
          </w:p>
        </w:tc>
      </w:tr>
      <w:tr>
        <w:tc>
          <w:tcPr>
            <w:tcW w:type="dxa" w:w="2880"/>
          </w:tcPr>
          <w:p>
            <w:r/>
            <w:r>
              <w:rPr>
                <w:sz w:val="18"/>
              </w:rPr>
              <w:t>基本目標3　推進施策2②　認知症の高齢者等への見守り活動</w:t>
            </w:r>
          </w:p>
        </w:tc>
        <w:tc>
          <w:tcPr>
            <w:tcW w:type="dxa" w:w="2880"/>
          </w:tcPr>
          <w:p>
            <w:r/>
            <w:r>
              <w:rPr>
                <w:sz w:val="18"/>
              </w:rPr>
              <w:t>認知症初期集中支援チーム、認知症地域支援推進員、認知症カフェ、医療・介護連携</w:t>
            </w:r>
          </w:p>
        </w:tc>
        <w:tc>
          <w:tcPr>
            <w:tcW w:type="dxa" w:w="2880"/>
          </w:tcPr>
          <w:p>
            <w:r/>
            <w:r>
              <w:rPr>
                <w:sz w:val="18"/>
              </w:rPr>
              <w:t>第6章2（初期集中支援チームの訪問実績0件、カフェ1か所、自立度Ⅱa 68→148人）</w:t>
            </w:r>
          </w:p>
        </w:tc>
      </w:tr>
    </w:tbl>
    <w:p>
      <w:r>
        <w:rPr>
          <w:i/>
          <w:sz w:val="18"/>
        </w:rPr>
        <w:t>※ 本整理により、地域福祉計画との重複記載を避け、本計画は介護保険制度に基づく具体化（誰に、何を、どの体制で）に集中する構成とする。第9期では成年後見制度の利用促進が基本目標2の施策として位置づけられていたが、その後に地域福祉計画が成年後見制度利用促進基本計画を一体策定したことによる変更である。</w:t>
      </w:r>
    </w:p>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令和8年3月末（令和7年度末）時点の認定者数（要介護度別）の実数</w:t>
            </w:r>
          </w:p>
        </w:tc>
        <w:tc>
          <w:tcPr>
            <w:tcW w:type="dxa" w:w="2880"/>
          </w:tcPr>
          <w:p>
            <w:r/>
            <w:r>
              <w:rPr>
                <w:sz w:val="18"/>
              </w:rPr>
              <w:t>第2章の異常の確認。町の公式統計は令和7年7月31日までであり、以降が未確認</w:t>
            </w:r>
          </w:p>
        </w:tc>
      </w:tr>
      <w:tr>
        <w:tc>
          <w:tcPr>
            <w:tcW w:type="dxa" w:w="2880"/>
          </w:tcPr>
          <w:p>
            <w:r/>
            <w:r>
              <w:rPr>
                <w:sz w:val="18"/>
              </w:rPr>
              <w:t>最優先</w:t>
            </w:r>
          </w:p>
        </w:tc>
        <w:tc>
          <w:tcPr>
            <w:tcW w:type="dxa" w:w="2880"/>
          </w:tcPr>
          <w:p>
            <w:r/>
            <w:r>
              <w:rPr>
                <w:sz w:val="18"/>
              </w:rPr>
              <w:t>令和3〜7年度 各年度末（3月末）の認定者数（要介護度別・年齢階層別）</w:t>
            </w:r>
          </w:p>
        </w:tc>
        <w:tc>
          <w:tcPr>
            <w:tcW w:type="dxa" w:w="2880"/>
          </w:tcPr>
          <w:p>
            <w:r/>
            <w:r>
              <w:rPr>
                <w:sz w:val="18"/>
              </w:rPr>
              <w:t>町の公式統計は10月1日基準のため、年度末基準の系列を確定させる。認定者推計の基礎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高</w:t>
            </w:r>
          </w:p>
        </w:tc>
        <w:tc>
          <w:tcPr>
            <w:tcW w:type="dxa" w:w="2880"/>
          </w:tcPr>
          <w:p>
            <w:r/>
            <w:r>
              <w:rPr>
                <w:sz w:val="18"/>
              </w:rPr>
              <w:t>令和6・7年度の介護保険特別会計決算（介護給付費準備基金の取崩額・残高を含む）</w:t>
            </w:r>
          </w:p>
        </w:tc>
        <w:tc>
          <w:tcPr>
            <w:tcW w:type="dxa" w:w="2880"/>
          </w:tcPr>
          <w:p>
            <w:r/>
            <w:r>
              <w:rPr>
                <w:sz w:val="18"/>
              </w:rPr>
              <w:t>第7章7。第9期計画が見込んだ基金取崩3,500万円の実施状況の確認</w:t>
            </w:r>
          </w:p>
        </w:tc>
      </w:tr>
      <w:tr>
        <w:tc>
          <w:tcPr>
            <w:tcW w:type="dxa" w:w="2880"/>
          </w:tcPr>
          <w:p>
            <w:r/>
            <w:r>
              <w:rPr>
                <w:sz w:val="18"/>
              </w:rPr>
              <w:t>高</w:t>
            </w:r>
          </w:p>
        </w:tc>
        <w:tc>
          <w:tcPr>
            <w:tcW w:type="dxa" w:w="2880"/>
          </w:tcPr>
          <w:p>
            <w:r/>
            <w:r>
              <w:rPr>
                <w:sz w:val="18"/>
              </w:rPr>
              <w:t>第9期の各年度実績（標準給付費、地域支援事業費の事業別内訳）</w:t>
            </w:r>
          </w:p>
        </w:tc>
        <w:tc>
          <w:tcPr>
            <w:tcW w:type="dxa" w:w="2880"/>
          </w:tcPr>
          <w:p>
            <w:r/>
            <w:r>
              <w:rPr>
                <w:sz w:val="18"/>
              </w:rPr>
              <w:t>第7章7の実績欄。第9期評価の確定</w:t>
            </w:r>
          </w:p>
        </w:tc>
      </w:tr>
      <w:tr>
        <w:tc>
          <w:tcPr>
            <w:tcW w:type="dxa" w:w="2880"/>
          </w:tcPr>
          <w:p>
            <w:r/>
            <w:r>
              <w:rPr>
                <w:sz w:val="18"/>
              </w:rPr>
              <w:t>中</w:t>
            </w:r>
          </w:p>
        </w:tc>
        <w:tc>
          <w:tcPr>
            <w:tcW w:type="dxa" w:w="2880"/>
          </w:tcPr>
          <w:p>
            <w:r/>
            <w:r>
              <w:rPr>
                <w:sz w:val="18"/>
              </w:rPr>
              <w:t>総合事業・通いの場の事業実績（令和3〜7年度）</w:t>
            </w:r>
          </w:p>
        </w:tc>
        <w:tc>
          <w:tcPr>
            <w:tcW w:type="dxa" w:w="2880"/>
          </w:tcPr>
          <w:p>
            <w:r/>
            <w:r>
              <w:rPr>
                <w:sz w:val="18"/>
              </w:rPr>
              <w:t>第6章1。見える化システムに令和3年度以降のデータがないため必須</w:t>
            </w:r>
          </w:p>
        </w:tc>
      </w:tr>
      <w:tr>
        <w:tc>
          <w:tcPr>
            <w:tcW w:type="dxa" w:w="2880"/>
          </w:tcPr>
          <w:p>
            <w:r/>
            <w:r>
              <w:rPr>
                <w:sz w:val="18"/>
              </w:rPr>
              <w:t>中</w:t>
            </w:r>
          </w:p>
        </w:tc>
        <w:tc>
          <w:tcPr>
            <w:tcW w:type="dxa" w:w="2880"/>
          </w:tcPr>
          <w:p>
            <w:r/>
            <w:r>
              <w:rPr>
                <w:sz w:val="18"/>
              </w:rPr>
              <w:t>認知症施策の実績（サポーター養成、初期集中支援チーム、カフェ、推進員の活動）</w:t>
            </w:r>
          </w:p>
        </w:tc>
        <w:tc>
          <w:tcPr>
            <w:tcW w:type="dxa" w:w="2880"/>
          </w:tcPr>
          <w:p>
            <w:r/>
            <w:r>
              <w:rPr>
                <w:sz w:val="18"/>
              </w:rPr>
              <w:t>第6章2、第8章2の基本目標2④の評価</w:t>
            </w:r>
          </w:p>
        </w:tc>
      </w:tr>
    </w:tbl>
    <w:p>
      <w:r>
        <w:rPr>
          <w:i/>
          <w:sz w:val="18"/>
        </w:rPr>
        <w:t>※ 「第9期計画の見込量」は、第9期計画本文（令和6年3月）の受領により確認済みである（第7章7）。確定に要するのは、これに対応する令和6・7年度の実績である。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