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101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0"/>
        </w:rPr>
        <w:t>介護給付適正化の計画策定に関する指針は、介護給付費財政調整交付金の算定に当たって主要3事業の取組状況を勘案することとしています。ケアプランの点検が実施されていないことは、交付金の評価にとどまらず調整交付金の交付割合を通じて保険料に及ぶ可能性があります。本計画の保険料の算定（第6章第6節）は、調整交付金の見込交付割合を第9期計画と同水準として置いており、この勘案による減額を織り込んでいません［要確認］。</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介護給付適正化の主要3事業の取組状況が調整交付金の算定に勘案されることとされており、ケアプランの点検が実施されていないことによる減額を本表は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