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令和8年10月23日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令和8年10月19日、ほぼ全ての確認事項について受託者案により作成を進めること、及び10月までの各工程を完了とすることについてご了承をいただきました。</w:t>
      </w:r>
      <w:r>
        <w:rPr>
          <w:rFonts w:ascii="游ゴシック" w:hAnsi="游ゴシック" w:eastAsia="游ゴシック"/>
          <w:b w:val="0"/>
          <w:sz w:val="21"/>
        </w:rPr>
        <w:t xml:space="preserve"> これにより173件が受託者案で確定し、ご決定をお待ちしている事項はありません。うち13件は、保険料に関わる国の政令・省令・告示が示された後に再算定します（第4節）。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令和8年10月23日）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75％</w:t>
            </w:r>
          </w:p>
        </w:tc>
        <w:tc>
          <w:tcPr>
            <w:tcW w:type="dxa" w:w="1928"/>
            <w:vAlign w:val="center"/>
          </w:tcPr>
          <w:p>
            <w:pPr>
              <w:keepNext/>
              <w:spacing w:after="0"/>
            </w:pPr>
            <w:r>
              <w:rPr>
                <w:rFonts w:ascii="游ゴシック" w:hAnsi="游ゴシック" w:eastAsia="游ゴシック"/>
                <w:b w:val="0"/>
                <w:sz w:val="18"/>
              </w:rPr>
              <w:t>完了2・一部2・未着手0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96％</w:t>
            </w:r>
          </w:p>
        </w:tc>
        <w:tc>
          <w:tcPr>
            <w:tcW w:type="dxa" w:w="1928"/>
            <w:shd w:val="clear" w:color="auto" w:fill="F2F5FA"/>
            <w:vAlign w:val="center"/>
          </w:tcPr>
          <w:p>
            <w:pPr>
              <w:keepNext/>
              <w:spacing w:after="0"/>
            </w:pPr>
            <w:r>
              <w:rPr>
                <w:rFonts w:ascii="游ゴシック" w:hAnsi="游ゴシック" w:eastAsia="游ゴシック"/>
                <w:b w:val="0"/>
                <w:sz w:val="18"/>
              </w:rPr>
              <w:t>完了13・一部1・未着手0</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100％</w:t>
            </w:r>
          </w:p>
        </w:tc>
        <w:tc>
          <w:tcPr>
            <w:tcW w:type="dxa" w:w="1928"/>
            <w:vAlign w:val="center"/>
          </w:tcPr>
          <w:p>
            <w:pPr>
              <w:keepNext/>
              <w:spacing w:after="0"/>
            </w:pPr>
            <w:r>
              <w:rPr>
                <w:rFonts w:ascii="游ゴシック" w:hAnsi="游ゴシック" w:eastAsia="游ゴシック"/>
                <w:b w:val="0"/>
                <w:sz w:val="18"/>
              </w:rPr>
              <w:t>完了7・一部0・未着手0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100％</w:t>
            </w:r>
          </w:p>
        </w:tc>
        <w:tc>
          <w:tcPr>
            <w:tcW w:type="dxa" w:w="1928"/>
            <w:shd w:val="clear" w:color="auto" w:fill="F2F5FA"/>
            <w:vAlign w:val="center"/>
          </w:tcPr>
          <w:p>
            <w:pPr>
              <w:keepNext/>
              <w:spacing w:after="0"/>
            </w:pPr>
            <w:r>
              <w:rPr>
                <w:rFonts w:ascii="游ゴシック" w:hAnsi="游ゴシック" w:eastAsia="游ゴシック"/>
                <w:b w:val="0"/>
                <w:sz w:val="18"/>
              </w:rPr>
              <w:t>完了9・一部0・未着手0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88％</w:t>
            </w:r>
          </w:p>
        </w:tc>
        <w:tc>
          <w:tcPr>
            <w:tcW w:type="dxa" w:w="1928"/>
            <w:vAlign w:val="center"/>
          </w:tcPr>
          <w:p>
            <w:pPr>
              <w:keepNext/>
              <w:spacing w:after="0"/>
            </w:pPr>
            <w:r>
              <w:rPr>
                <w:rFonts w:ascii="游ゴシック" w:hAnsi="游ゴシック" w:eastAsia="游ゴシック"/>
                <w:b w:val="0"/>
                <w:sz w:val="18"/>
              </w:rPr>
              <w:t>完了6・一部2・未着手0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80％</w:t>
            </w:r>
          </w:p>
        </w:tc>
        <w:tc>
          <w:tcPr>
            <w:tcW w:type="dxa" w:w="1928"/>
            <w:shd w:val="clear" w:color="auto" w:fill="F2F5FA"/>
            <w:vAlign w:val="center"/>
          </w:tcPr>
          <w:p>
            <w:pPr>
              <w:spacing w:after="0"/>
            </w:pPr>
            <w:r>
              <w:rPr>
                <w:rFonts w:ascii="游ゴシック" w:hAnsi="游ゴシック" w:eastAsia="游ゴシック"/>
                <w:b w:val="0"/>
                <w:sz w:val="18"/>
              </w:rPr>
              <w:t>完了4・一部0・未着手1</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75％です。（11）成果品の帰属及び（12）その他は数値で表していません。令和8年10月4日までは受託者の見積りによる数値をお示ししており、全体は79％としていました。作業項目の達成状況から算定する形に改めたことにより75％となっています。作業が後戻りしたものではなく、算定の基礎を改めたことによる差です。（6）計画書の作成は計画最終案（令和9年2月の工程）が未着手であること、（8）各種会議への技術的支援は策定委員会の資料原案が委員会の日程の決定を待ってい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全体の件数とご了承による確定</w:t>
      </w:r>
    </w:p>
    <w:p>
      <w:pPr>
        <w:spacing w:after="80"/>
      </w:pPr>
      <w:r>
        <w:rPr>
          <w:rFonts w:ascii="游ゴシック" w:hAnsi="游ゴシック" w:eastAsia="游ゴシック"/>
          <w:b w:val="0"/>
          <w:sz w:val="21"/>
        </w:rPr>
        <w:t>令和8年10月19日、ほぼ全ての確認事項について受託者案により作成を進めること、確認事項として挙げた経緯は残しながら作業を進めること、10月までの各工程については細かい論点を措いて完了とすること、及び保険料について国の指針が示された後に再度修正して完了とすることについてご了承をいただきました。</w:t>
      </w:r>
      <w:r>
        <w:rPr>
          <w:rFonts w:ascii="游ゴシック" w:hAnsi="游ゴシック" w:eastAsia="游ゴシック"/>
          <w:b/>
          <w:sz w:val="21"/>
        </w:rPr>
        <w:t>これにより173件が受託者案で確定し、ご決定をお待ちしている事項はありません。</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192件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ご了承・ご回答により決着したもの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19件</w:t>
            </w:r>
          </w:p>
        </w:tc>
        <w:tc>
          <w:tcPr>
            <w:tcW w:type="dxa" w:w="5443"/>
            <w:shd w:val="clear" w:color="auto" w:fill="F2F5FA"/>
            <w:vAlign w:val="center"/>
          </w:tcPr>
          <w:p>
            <w:pPr>
              <w:keepNext/>
              <w:spacing w:after="0"/>
            </w:pPr>
            <w:r>
              <w:rPr>
                <w:rFonts w:ascii="游ゴシック" w:hAnsi="游ゴシック" w:eastAsia="游ゴシック"/>
                <w:b w:val="0"/>
                <w:sz w:val="18"/>
              </w:rPr>
              <w:t>個別にご了承・ご回答をいただいたもの、代替により解消したもの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受託者案で確定したもの</w:t>
            </w:r>
          </w:p>
        </w:tc>
        <w:tc>
          <w:tcPr>
            <w:tcW w:type="dxa" w:w="1134"/>
            <w:vAlign w:val="center"/>
          </w:tcPr>
          <w:p>
            <w:pPr>
              <w:keepNext/>
              <w:spacing w:after="0"/>
              <w:jc w:val="center"/>
            </w:pPr>
            <w:r>
              <w:rPr>
                <w:rFonts w:ascii="游ゴシック" w:hAnsi="游ゴシック" w:eastAsia="游ゴシック"/>
                <w:b w:val="0"/>
                <w:sz w:val="18"/>
              </w:rPr>
              <w:t>173件</w:t>
            </w:r>
          </w:p>
        </w:tc>
        <w:tc>
          <w:tcPr>
            <w:tcW w:type="dxa" w:w="5443"/>
            <w:vAlign w:val="center"/>
          </w:tcPr>
          <w:p>
            <w:pPr>
              <w:keepNext/>
              <w:spacing w:after="0"/>
            </w:pPr>
            <w:r>
              <w:rPr>
                <w:rFonts w:ascii="游ゴシック" w:hAnsi="游ゴシック" w:eastAsia="游ゴシック"/>
                <w:b/>
                <w:sz w:val="18"/>
              </w:rPr>
              <w:t>令和8年10月19日のご了承によるものです。従前の状態は業務工程管理表（03 確認事項一覧）の回答欄に残しています</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うち告示後に再算定するもの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保険料に関わる国の政令・省令・告示が示された後に再算定します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171件</w:t>
            </w:r>
          </w:p>
        </w:tc>
        <w:tc>
          <w:tcPr>
            <w:tcW w:type="dxa" w:w="5443"/>
            <w:vAlign w:val="center"/>
          </w:tcPr>
          <w:p>
            <w:pPr>
              <w:spacing w:after="0"/>
            </w:pPr>
            <w:r>
              <w:rPr>
                <w:rFonts w:ascii="游ゴシック" w:hAnsi="游ゴシック" w:eastAsia="游ゴシック"/>
                <w:b w:val="0"/>
                <w:sz w:val="18"/>
              </w:rPr>
              <w:t>受託者案のとおり計画素案に反映しているものです</w:t>
            </w:r>
          </w:p>
        </w:tc>
      </w:tr>
    </w:tbl>
    <w:p>
      <w:pPr>
        <w:ind w:left="227"/>
      </w:pPr>
      <w:r>
        <w:rPr>
          <w:rFonts w:ascii="游ゴシック" w:hAnsi="游ゴシック" w:eastAsia="游ゴシック"/>
          <w:b w:val="0"/>
          <w:sz w:val="18"/>
        </w:rPr>
        <w:t>※ 本節の2から4は、ご了承いただいた受託者案の内容と、その前提が動いた場合に保険料がどれだけ動くかをお示しするものです。計画として確定する前に改めてご確認をお願いする事項は、国の政令・省令・告示が示された後の再算定13件で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受託者案により置いているものです。いずれも計画素案にはその案のとおり記述し、構成3町との協議又は国の政令・省令・告示の公布を待つ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ご了承いただいた受託者案</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調査の確定値化（確認事項No.8）</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も受託者案で確定しました。未回答のまま範囲で記述する扱いによるため、調査の確定値化と、結果報告書・集計分析報告書・計画素案の該当箇所はこの扱いのとおりとしています。提出元の事業所へご照会いただける場合は、照会の文面を作成済みですのでお申し付けください。</w:t>
      </w:r>
    </w:p>
    <w:p>
      <w:pPr>
        <w:ind w:left="227"/>
      </w:pPr>
      <w:r>
        <w:rPr>
          <w:rFonts w:ascii="游ゴシック" w:hAnsi="游ゴシック" w:eastAsia="游ゴシック"/>
          <w:b w:val="0"/>
          <w:sz w:val="18"/>
        </w:rPr>
        <w:t>※ 受託者案：3調査の点検事項は当方の判定のままとする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資料提供依頼は全30件で、うち21件が未受領です。優先度の高いものから示します。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見える化システムの事業所分析機能の出力</w:t>
            </w:r>
          </w:p>
        </w:tc>
        <w:tc>
          <w:tcPr>
            <w:tcW w:type="dxa" w:w="3061"/>
            <w:vAlign w:val="center"/>
          </w:tcPr>
          <w:p>
            <w:pPr>
              <w:spacing w:after="0"/>
            </w:pPr>
            <w:r>
              <w:rPr>
                <w:rFonts w:ascii="游ゴシック" w:hAnsi="游ゴシック" w:eastAsia="游ゴシック"/>
                <w:b w:val="0"/>
                <w:sz w:val="18"/>
              </w:rPr>
              <w:t>事業所の定員と稼働の実績、供給の制約（人材）、施設・居住系の実績の減少の読み方</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見える化システムの地方公共団体向け利用マニュアル</w:t>
            </w:r>
          </w:p>
        </w:tc>
        <w:tc>
          <w:tcPr>
            <w:tcW w:type="dxa" w:w="3061"/>
            <w:shd w:val="clear" w:color="auto" w:fill="F2F5FA"/>
            <w:vAlign w:val="center"/>
          </w:tcPr>
          <w:p>
            <w:pPr>
              <w:spacing w:after="0"/>
            </w:pPr>
            <w:r>
              <w:rPr>
                <w:rFonts w:ascii="游ゴシック" w:hAnsi="游ゴシック" w:eastAsia="游ゴシック"/>
                <w:b w:val="0"/>
                <w:sz w:val="18"/>
              </w:rPr>
              <w:t>将来推計の入力値、施設・居住系の画面から先へ進めない件</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第9期（令和6〜8年度）の保険料率を定める介護保険条例</w:t>
            </w:r>
          </w:p>
        </w:tc>
        <w:tc>
          <w:tcPr>
            <w:tcW w:type="dxa" w:w="3061"/>
            <w:shd w:val="clear" w:color="auto" w:fill="F2F5FA"/>
            <w:vAlign w:val="center"/>
          </w:tcPr>
          <w:p>
            <w:pPr>
              <w:spacing w:after="0"/>
            </w:pPr>
            <w:r>
              <w:rPr>
                <w:rFonts w:ascii="游ゴシック" w:hAnsi="游ゴシック" w:eastAsia="游ゴシック"/>
                <w:b w:val="0"/>
                <w:sz w:val="18"/>
              </w:rPr>
              <w:t>所得段階と乗率の確定、保険料の算定</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見える化システムの第10期新機能の出力</w:t>
            </w:r>
          </w:p>
        </w:tc>
        <w:tc>
          <w:tcPr>
            <w:tcW w:type="dxa" w:w="3061"/>
            <w:vAlign w:val="center"/>
          </w:tcPr>
          <w:p>
            <w:pPr>
              <w:spacing w:after="0"/>
            </w:pPr>
            <w:r>
              <w:rPr>
                <w:rFonts w:ascii="游ゴシック" w:hAnsi="游ゴシック" w:eastAsia="游ゴシック"/>
                <w:b w:val="0"/>
                <w:sz w:val="18"/>
              </w:rPr>
              <w:t>類似保険者との比較分析、区域外の事業所の利用、日常生活圏域の設定、伸びの選択</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見える化システムの地域分析・検討シート（比較地域を設定したもの）</w:t>
            </w:r>
          </w:p>
        </w:tc>
        <w:tc>
          <w:tcPr>
            <w:tcW w:type="dxa" w:w="3061"/>
            <w:shd w:val="clear" w:color="auto" w:fill="F2F5FA"/>
            <w:vAlign w:val="center"/>
          </w:tcPr>
          <w:p>
            <w:pPr>
              <w:spacing w:after="0"/>
            </w:pPr>
            <w:r>
              <w:rPr>
                <w:rFonts w:ascii="游ゴシック" w:hAnsi="游ゴシック" w:eastAsia="游ゴシック"/>
                <w:b w:val="0"/>
                <w:sz w:val="18"/>
              </w:rPr>
              <w:t>類似保険者との比較分析、地域分析・検討シートの記載</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要介護認定適正化事業の業務分析データ</w:t>
            </w:r>
          </w:p>
        </w:tc>
        <w:tc>
          <w:tcPr>
            <w:tcW w:type="dxa" w:w="3061"/>
            <w:vAlign w:val="center"/>
          </w:tcPr>
          <w:p>
            <w:pPr>
              <w:spacing w:after="0"/>
            </w:pPr>
            <w:r>
              <w:rPr>
                <w:rFonts w:ascii="游ゴシック" w:hAnsi="游ゴシック" w:eastAsia="游ゴシック"/>
                <w:b w:val="0"/>
                <w:sz w:val="18"/>
              </w:rPr>
              <w:t>第7期給付適正化計画の主要3事業の基準値、調整交付金の一定の取組による減額の判定</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R8.12</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見える化システムのB7・B8（要介護者の状況）の出力</w:t>
            </w:r>
          </w:p>
        </w:tc>
        <w:tc>
          <w:tcPr>
            <w:tcW w:type="dxa" w:w="3061"/>
            <w:shd w:val="clear" w:color="auto" w:fill="F2F5FA"/>
            <w:vAlign w:val="center"/>
          </w:tcPr>
          <w:p>
            <w:pPr>
              <w:spacing w:after="0"/>
            </w:pPr>
            <w:r>
              <w:rPr>
                <w:rFonts w:ascii="游ゴシック" w:hAnsi="游ゴシック" w:eastAsia="游ゴシック"/>
                <w:b w:val="0"/>
                <w:sz w:val="18"/>
              </w:rPr>
              <w:t>計画素案 第2章第1節3（認知症高齢者の状況）</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令和7年国勢調査による町別の高齢者を含む世帯</w:t>
            </w:r>
          </w:p>
        </w:tc>
        <w:tc>
          <w:tcPr>
            <w:tcW w:type="dxa" w:w="3061"/>
            <w:vAlign w:val="center"/>
          </w:tcPr>
          <w:p>
            <w:pPr>
              <w:spacing w:after="0"/>
            </w:pPr>
            <w:r>
              <w:rPr>
                <w:rFonts w:ascii="游ゴシック" w:hAnsi="游ゴシック" w:eastAsia="游ゴシック"/>
                <w:b w:val="0"/>
                <w:sz w:val="18"/>
              </w:rPr>
              <w:t>世帯構成の現状</w:t>
            </w:r>
          </w:p>
        </w:tc>
        <w:tc>
          <w:tcPr>
            <w:tcW w:type="dxa" w:w="1474"/>
            <w:vAlign w:val="center"/>
          </w:tcPr>
          <w:p>
            <w:pPr>
              <w:spacing w:after="0"/>
            </w:pPr>
            <w:r>
              <w:rPr>
                <w:rFonts w:ascii="游ゴシック" w:hAnsi="游ゴシック" w:eastAsia="游ゴシック"/>
                <w:b w:val="0"/>
                <w:sz w:val="18"/>
              </w:rPr>
              <w:t>総務省・3町</w:t>
            </w:r>
          </w:p>
        </w:tc>
        <w:tc>
          <w:tcPr>
            <w:tcW w:type="dxa" w:w="1134"/>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r>
        <w:rPr>
          <w:rFonts w:ascii="游ゴシック" w:hAnsi="游ゴシック" w:eastAsia="游ゴシック"/>
          <w:b/>
          <w:sz w:val="21"/>
        </w:rPr>
        <w:t>いずれも受託者案で確定しているため計画の算定は止まりませんが、ご意向により見込量が動き得るものです。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val="0"/>
        <w:spacing w:before="28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全192件／未決3件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全30件／未受領21件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