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70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70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111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111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114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114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114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115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116</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併せて、計画を定め、又は変更したときは、遅滞なくこれを都道府県知事に提出し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介護保険法第117条は、市町村介護保険事業計画は医療計画との整合性の確保が図られたものでなければならないことを定めています。医療計画及び地域医療構想との整合は、在宅医療・介護連携（第5章 基本目標1）、協力医療機関の確保（第1章第9節1）並びに施設・居住系サービスの整備（第6章第5節）において図ります。北海道の第10期高齢者保健福祉計画・介護保険事業支援計画は未策定であり、策定され次第、整合を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事業の具体の内容、費用の負担及び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制度の内容が確定するまでは、必要となる事業費及び人員は算定できません。</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基準①の根拠となる特別地域加算の対象地域の告示を確認できていないため、構成3町が①に該当するかどうかの判定は本計画では行っていません［要確認］。指定に係る構成町の意向の表明についても、基準及び手続が確定していないため本計画では行わないものとし、省令等が確定した時点で3町と協議して定めます［要協議］。</w:t>
        <w:br/>
        <w:t>注）介護報酬上、交通の便が悪い地域における経営の安定等を目的として①特別地域加算②中山間地域等における小規模事業所加算③中山間地域等に居住する者へのサービス提供加算の3種類が設けられており、いずれも区分支給限度基準額の対象外とされています。地域の区分は、厚生労働大臣が定める中山間地域等の地域に関する告示と、いわゆる特別地域加算の対象地域に関する告示の2つによります。本計画は、いずれの告示も確認できていないため、構成3町が対象であるかどうかの判定を行っておらず、第6章第2節の1人1月あたり給付費は令和7年度の実績（算定されている加算を含みます）によっています［要確認］。</w:t>
        <w:b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介護人材の確保及び生産性向上の推進</w:t>
            </w:r>
          </w:p>
        </w:tc>
        <w:tc>
          <w:tcPr>
            <w:tcW w:type="dxa" w:w="3835"/>
          </w:tcPr>
          <w:p>
            <w:r/>
            <w:r>
              <w:rPr>
                <w:rFonts w:ascii="游ゴシック" w:hAnsi="游ゴシック" w:eastAsia="游ゴシック"/>
                <w:sz w:val="17"/>
              </w:rPr>
              <w:t>介護人材の確保及び生産性向上の取組の推進を国及び都道府県の責務とするとともに、介護分野における生産性向上推進のための協議会の設置を都道府県の義務とする。</w:t>
            </w:r>
          </w:p>
        </w:tc>
        <w:tc>
          <w:tcPr>
            <w:tcW w:type="dxa" w:w="3506"/>
          </w:tcPr>
          <w:p>
            <w:r/>
            <w:r>
              <w:rPr>
                <w:rFonts w:ascii="游ゴシック" w:hAnsi="游ゴシック" w:eastAsia="游ゴシック"/>
                <w:sz w:val="17"/>
              </w:rPr>
              <w:t>協議会を設置するのは北海道であり、本広域連合及び構成3町はこれに参画し、又はその支援を受ける立場となります。第2章第6節に介護人材の状況を、第5章 基本目標4に人材の確保及び生産性向上の施策を置きます。北海道における協議会の設置の状況及び本広域連合の関わり方は確認できていません［要確認］。</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生活困窮者自立支援及び生活保護部会（第30回）資料2、令和8年7月17日）、『令和９年度介護報酬改定に向けた基本的な視点（案）』（第268回社会保障審議会介護給付費分科会 資料1、令和8年9月30日）</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180" w:after="10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180" w:after="10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が、特別地域加算の対象地域の告示を確認でき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地域区分及び多床室の室料負担</w:t>
            </w:r>
          </w:p>
        </w:tc>
        <w:tc>
          <w:tcPr>
            <w:tcW w:type="dxa" w:w="3506"/>
          </w:tcPr>
          <w:p>
            <w:r/>
            <w:r>
              <w:rPr>
                <w:rFonts w:ascii="游ゴシック" w:hAnsi="游ゴシック" w:eastAsia="游ゴシック"/>
                <w:sz w:val="17"/>
              </w:rPr>
              <w:t>地域区分の設定の考え方と、多床室に係る室料負担の在り方が検討されています。地域区分は単価に、室料負担は利用者負担に及びます。</w:t>
            </w:r>
          </w:p>
        </w:tc>
        <w:tc>
          <w:tcPr>
            <w:tcW w:type="dxa" w:w="3725"/>
          </w:tcPr>
          <w:p>
            <w:r/>
            <w:r>
              <w:rPr>
                <w:rFonts w:ascii="游ゴシック" w:hAnsi="游ゴシック" w:eastAsia="游ゴシック"/>
                <w:sz w:val="17"/>
              </w:rPr>
              <w:t>地域区分による単価は令和7年度の実績に含まれています。室料負担は利用者負担であり給付費とは別に扱い、変更が示された場合は第6章第7節において整理します。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160" w:line="269" w:lineRule="auto"/>
      </w:pPr>
      <w:r>
        <w:rPr>
          <w:rFonts w:ascii="游ゴシック" w:hAnsi="游ゴシック" w:eastAsia="游ゴシック"/>
          <w:b w:val="0"/>
          <w:sz w:val="17"/>
        </w:rPr>
        <w:t>注）上記の町別・年齢4区分別の人口は、住民基本台帳の各年10月1日現在の値であり、令和5年までの提供を受けているものです。令和6年以降の同じ時点の町別の値は提供を受けていないため、年齢階級別の趨勢及び将来推計の基礎には、公表されている各年1月1日現在の値を用いています。両者は時点が9か月異なるため、同じ系列としてつなげていません［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いますが、本広域連合における軽度認知障害を含む割合は把握していません［要確認］。</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業務継続計画の策定を確認した地域密着型サービス事業所の割合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当初は業務継続計画未策定減算（令和6年度新設）の算定状況から把握する方法を予定していましたが、給付実績の明細（加算・減算の単位）が得られないため、指定、指定の更新又は運営指導の際の確認によります。対象は区域内の地域密着型サービス事業所17事業所（東川町4・美瑛町10・東神楽町3）で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北海道が同じ算定方法で評価指標⑥を算定していますが、団体別の値を引用できる見通しが立たないため、H14は要因分析に用いる補完指標にとどめ、目標値を置き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9,500人の維持）を下回る見込みであること、東川町の実績が目標（8,635人）を既に上回っていることによります。このため、総人口は3町計を総合戦略の目標の水準により置き、年齢階級別の内訳及び町別の総人口は住民基本台帳の実績趨勢によることと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令和9年4月1日に新設される登録施設介護（予防）支援、特定地域サービス及び特定地域居宅サービス等事業は、実績がないため0として立てています。国の様式の確定後に区分を改めます［要協議］。登録施設介護支援等に係る利用者負担の在り方は引き続き検討することとされており（第1章第9節5）、利用者負担が設けられる場合は給付費の算定が変わります［要確認］。</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80" w:line="269" w:lineRule="auto"/>
      </w:pPr>
      <w:r>
        <w:rPr>
          <w:rFonts w:ascii="游ゴシック" w:hAnsi="游ゴシック" w:eastAsia="游ゴシック"/>
          <w:b w:val="0"/>
          <w:sz w:val="20"/>
        </w:rPr>
        <w:t>特に認知症対応型共同生活介護は、区域全体の定員が平成28年から令和2年の115人から令和4年以降99人に減っており、令和4年度の落ち込みは1事業所の定員縮小によるものです（令和6年度から令和7年度は増に転じています）。介護老人福祉施設も平成29年度の234人から令和2年度以降160人へ縮小しています。この2つのサービスは、実績の減少が定員の縮小によるものであるため、補正を行う場合でも対象から外す扱いとします［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br/>
        <w:t>注）補正を行っても計画値と実績値の開きが残るサービスが6種別あります（居宅療養管理指導、地域密着型通所介護、短期入所生活介護、短期入所療養介護、訪問看護、訪問リハビリテーション）。いずれも趨勢の置き方によるものではなく、区域内の供給の状況又は制度の区分によるものと考えられます。趨勢の補正では解消しないため、第4節の整備方針及び確保方策において扱います［要確認］。</w:t>
        <w:br/>
        <w:t>注）認知症施策、高齢者向け住まい（介護保険の指定を受けない住まいを含む）その他の趨勢に現れない要因については、給付費を増やす向きか減らす向きかを本計画の該当箇所に記すにとどめ、数値には織り込んでいません。大きさを測ることができないためで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国の様式には保険料収納必要額から交付金の交付見込額を控除する欄がありますが、本計画はBから当該2事業を除く方法によっているため、収納必要額からの控除は行っていません。両方を行うと同じ額を二重に控除することになります［要確認］。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当広域連合が対象となる場合は単価を上げる向きに働きます。いずれの加算も対象地域が告示によるものであり、本計画は告示を確認できていないため見込んでいません（第1章第9節1）［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