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［第５版］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当社資料の訂正（保険料試算の再検算による６件）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９月28日に町へお渡しした本資料の第５版（v5）から、保険料試算の内部整合を検算し、次の６件を是正しました。月額基準額の算定式（保険料収納必要額÷予定保険料収納率÷所得段階別加入割合補正後被保険者数÷12）に印字されている値だけを用いて全項目を検算しています（`07_ソーススクリプト/check_hokenryo_R8.9.30.py`・39項目すべて適合）。算定Ａ（基金取崩なし）6,822円と、第１号被保険者負担割合24％の影響（＋309円）、所得段階別加入割合の補正係数の影響（＋352円）に変更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令和９年１月）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に対する町の回答と、実施の実績・証跡によります。また、交付額は評価得点・第１号被保険者数・他の保険者の得点による按分で決まるため、27点の回復を金額に換算することはできません。本計画では「増額の可能性がある」ものとして扱い、金額の見込みは立ててい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選択１のご判断を受けた施策体系の確定（統合体系表は作成済み。計画書の第５章から第８章への書き下ろしを行う）</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計画書（案）の作成。町確認データによる保険料の確定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第４回：計画書（案）・概要版（案）の確定（仕様書上の３回には含まれない任意開催。実施の可否は町とご相談します）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計画書・概要版の印刷・製本・納品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委託仕様書上、策定委員会は３回構成であり、第３回で答申の内容を確定します。上表の第４回は、パブリックコメントの結果を反映した計画書（案）をご確認いただくための任意開催で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訂正事項５件のご確認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