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協議用素案（令和8年9月時点）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令和8（2026）年9月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【通常の事業の実施地域による確認】</w:t>
      </w:r>
    </w:p>
    <w:p>
      <w:pPr>
        <w:spacing w:after="80"/>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事業所数</w:t>
            </w:r>
          </w:p>
        </w:tc>
        <w:tc>
          <w:tcPr>
            <w:tcW w:type="dxa" w:w="907"/>
          </w:tcPr>
          <w:p>
            <w:r/>
            <w:r>
              <w:rPr>
                <w:rFonts w:ascii="游ゴシック" w:hAnsi="游ゴシック" w:eastAsia="游ゴシック"/>
                <w:b/>
                <w:sz w:val="17"/>
              </w:rPr>
              <w:t>東川町</w:t>
            </w:r>
          </w:p>
        </w:tc>
        <w:tc>
          <w:tcPr>
            <w:tcW w:type="dxa" w:w="907"/>
          </w:tcPr>
          <w:p>
            <w:r/>
            <w:r>
              <w:rPr>
                <w:rFonts w:ascii="游ゴシック" w:hAnsi="游ゴシック" w:eastAsia="游ゴシック"/>
                <w:b/>
                <w:sz w:val="17"/>
              </w:rPr>
              <w:t>美瑛町</w:t>
            </w:r>
          </w:p>
        </w:tc>
        <w:tc>
          <w:tcPr>
            <w:tcW w:type="dxa" w:w="1020"/>
          </w:tcPr>
          <w:p>
            <w:r/>
            <w:r>
              <w:rPr>
                <w:rFonts w:ascii="游ゴシック" w:hAnsi="游ゴシック" w:eastAsia="游ゴシック"/>
                <w:b/>
                <w:sz w:val="17"/>
              </w:rPr>
              <w:t>東神楽町</w:t>
            </w:r>
          </w:p>
        </w:tc>
        <w:tc>
          <w:tcPr>
            <w:tcW w:type="dxa" w:w="3515"/>
          </w:tcPr>
          <w:p>
            <w:r/>
            <w:r>
              <w:rPr>
                <w:rFonts w:ascii="游ゴシック" w:hAnsi="游ゴシック" w:eastAsia="游ゴシック"/>
                <w:b/>
                <w:sz w:val="17"/>
              </w:rPr>
              <w:t>見方</w:t>
            </w:r>
          </w:p>
        </w:tc>
      </w:tr>
      <w:t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jc w:val="right"/>
      </w:pPr>
      <w:r>
        <w:rPr>
          <w:rFonts w:ascii="游ゴシック" w:hAnsi="游ゴシック" w:eastAsia="游ゴシック"/>
          <w:b w:val="0"/>
          <w:sz w:val="17"/>
        </w:rPr>
        <w:t>資料：北海道　介護保険事業所一覧（運営規程の「通常の事業の実施地域」）</w:t>
      </w:r>
    </w:p>
    <w:p>
      <w:pPr>
        <w:spacing w:after="80"/>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【運営法人の状況】</w:t>
      </w:r>
    </w:p>
    <w:p>
      <w:pPr>
        <w:spacing w:after="80"/>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28"/>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事業所数</w:t>
            </w:r>
          </w:p>
        </w:tc>
        <w:tc>
          <w:tcPr>
            <w:tcW w:type="dxa" w:w="1928"/>
          </w:tcPr>
          <w:p>
            <w:r/>
            <w:r>
              <w:rPr>
                <w:rFonts w:ascii="游ゴシック" w:hAnsi="游ゴシック" w:eastAsia="游ゴシック"/>
                <w:b/>
                <w:sz w:val="17"/>
              </w:rPr>
              <w:t>実事業所に対する割合</w:t>
            </w:r>
          </w:p>
        </w:tc>
        <w:tc>
          <w:tcPr>
            <w:tcW w:type="dxa" w:w="2948"/>
          </w:tcPr>
          <w:p>
            <w:r/>
            <w:r>
              <w:rPr>
                <w:rFonts w:ascii="游ゴシック" w:hAnsi="游ゴシック" w:eastAsia="游ゴシック"/>
                <w:b/>
                <w:sz w:val="17"/>
              </w:rPr>
              <w:t>備考</w:t>
            </w:r>
          </w:p>
        </w:tc>
      </w:tr>
      <w:t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jc w:val="right"/>
      </w:pPr>
      <w:r>
        <w:rPr>
          <w:rFonts w:ascii="游ゴシック" w:hAnsi="游ゴシック" w:eastAsia="游ゴシック"/>
          <w:b w:val="0"/>
          <w:sz w:val="17"/>
        </w:rPr>
        <w:t>資料：北海道　介護保険事業所一覧（令和8年6月30日現在）</w:t>
      </w:r>
    </w:p>
    <w:p>
      <w:pPr>
        <w:spacing w:after="80"/>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【区域内の入居状況と当広域連合の被保険者の受給者数】</w:t>
      </w:r>
    </w:p>
    <w:p>
      <w:pPr>
        <w:spacing w:after="80"/>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【供給の担い手の集中】</w:t>
      </w:r>
    </w:p>
    <w:p>
      <w:pPr>
        <w:spacing w:after="80"/>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【入所の経路からみた整備の考え方】</w:t>
      </w:r>
    </w:p>
    <w:p>
      <w:pPr>
        <w:spacing w:after="80"/>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改定率は令和9年度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