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118件（条件付き55件・送付35件・内部保管23件・対象外5件）と計画素案（928段落145表36図）です。ビルドスクリプトは117本あり、うち29本が自らの計算を検算する自己点検を備えています（計403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自己点検を備えたスクリプト（29本・計403件）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c>
          <w:tcPr>
            <w:tcW w:type="dxa" w:w="3572"/>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928段落145表36図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発注者・委員会・住民の目に触れるもの。未確定箇所が138箇所（要協議110・要確認27・要内訳1）残っている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確認事項167件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現在138箇所（要協議110・要確認27・要内訳1）です。うち第6章第4節（施設の見込み）に58箇所（43％）が集中しており、日常生活圏域と必要利用定員総数（確認事項No.88）が決まれば解消します。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自己点検を備えた29本を順に実行し、終了コードが0であることを確かめます。1件でも合わなければ終了コード1で終わり、不適合の内容が表示されます。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再実行できない3本（第2節3）は除いています。自己点検を持たないスクリプトも実行されますが、書き出しに失敗すればやはり0以外で終わります。自己点検を備えた29本は第3節1の表のとおりです。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