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680"/>
        <w:gridCol w:w="1498"/>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493"/>
        <w:gridCol w:w="1685"/>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936"/>
        <w:gridCol w:w="2246"/>
        <w:gridCol w:w="374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936"/>
        <w:gridCol w:w="280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109頁のうち、5-12「据え置いている項目の一覧」と編集注記（⚙）は数値が確定した段階で削除するため、成果品としての計画書は約99頁になる見込みである（仕様書は約100頁）。</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年間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年間で1項目5点のみです。</w:t>
      </w:r>
    </w:p>
    <w:p>
      <w:pPr>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1123"/>
        <w:gridCol w:w="749"/>
        <w:gridCol w:w="1123"/>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749"/>
        <w:gridCol w:w="655"/>
        <w:gridCol w:w="1030"/>
        <w:gridCol w:w="936"/>
        <w:gridCol w:w="318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3項目はいずれも全国の65〜86%が取得している項目で、令和6年度・令和7年度は本村も取得していました。取組が止まったのか、国への該当状況調査票の記載によるものかを確認したうえで、取組が止まっているのであれば令和9年度の評価で取り戻せます。合わせて15点です。</w:t>
      </w:r>
    </w:p>
    <w:p>
      <w:pPr>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879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498"/>
        <w:gridCol w:w="1498"/>
        <w:gridCol w:w="3556"/>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650"/>
        <w:gridCol w:w="365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591"/>
        <w:gridCol w:w="1123"/>
        <w:gridCol w:w="1310"/>
        <w:gridCol w:w="1872"/>
        <w:gridCol w:w="2060"/>
      </w:tblGrid>
      <w:tr>
        <w:trPr>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9296400"/>
                    </a:xfrm>
                    <a:prstGeom prst="rect">
                      <a:avLst/>
                    </a:prstGeom>
                  </pic:spPr>
                </pic:pic>
              </a:graphicData>
            </a:graphic>
          </wp:inline>
        </w:drawing>
      </w:r>
    </w:p>
    <w:p>
      <w:pPr>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2"/>
          <w:szCs w:val="22"/>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953人に対し、実績（令和7年12月末の第1号被保険者数）は1,012人で、推計が実績を59人下回っています。実績に対して5.8%の差で、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B案の令和9年は1,004人である。前期高齢者465人・後期高齢者538人の内訳をそれぞれ四捨五入して足すと1,003人になるが、合計を四捨五入した1,004人を用い、保険料の算定（資料6）もこの値による。同じ指標に2つの値が併存しないよう、計画素案・本資料をとおして1,004人に統一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3つあり、時点も定義も異なるため混ぜてはならない。(1)地域包括ケア「見える化」システムの年度の値（令和6年度1,015人・令和7年度1,011人。第9期の乖離検証と受給率の分母に用いる）、(2)村の住民基本台帳による実績（令和7年12月末1,012人。推計の置き直しの基準）、(3)B案の推計（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ゴシック" w:cs="游ゴシック" w:eastAsia="游ゴシック" w:hAnsi="游ゴシック"/>
          <w:sz w:val="21"/>
          <w:szCs w:val="21"/>
        </w:rPr>
        <w:t xml:space="preserve">B案（実績にリベース）と令和8年の認定率を用いた場合の推計は次のとおりです。令和8年は実績を置き、令和9年以降は前期高齢者・後期高齢者それぞれの要介護度別認定率をB案の人口に乗じた値です。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第1号被保険者数が令和8年から令和11年にかけて25人（2.5%）減るなかで、認定者数は6人（2.8%）増えます。後期高齢者の比率が52.0%から57.0%に上がるためです。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8年の欄は令和8年3月末の実績（計画素案2-3・5-3と同じ値）である。令和9年以降の「計」は要介護度別の値を四捨五入する前に合計し、その合計を四捨五入した値であるため、要介護度別の数字をそのまま足した値と最大1人違う（令和9年は内訳の和213人・計214人、令和10年は内訳の和218人・計217人）。保険料の算定には「計」の値を用いている。</w:t>
      </w:r>
    </w:p>
    <w:p>
      <w:pPr>
        <w:spacing w:after="100" w:line="300"/>
      </w:pPr>
      <w:r>
        <w:rPr>
          <w:rFonts w:ascii="游ゴシック" w:cs="游ゴシック" w:eastAsia="游ゴシック" w:hAnsi="游ゴシック"/>
          <w:b/>
          <w:bCs/>
          <w:color w:val="2E75B6"/>
          <w:sz w:val="22"/>
          <w:szCs w:val="22"/>
        </w:rPr>
        <w:t xml:space="preserve">ご議論いただきたい論点：認定率をどう置くか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本日ご議論いただきたいのは、①基金の取崩しをどの規模で行うか、②推計の幅をどこまで保険料に織り込むか、の2点です。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310"/>
        <w:gridCol w:w="1404"/>
        <w:gridCol w:w="140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616"/>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123"/>
        <w:gridCol w:w="299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4306"/>
        <w:gridCol w:w="2246"/>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2026-09-29T08:09:15.723Z</dcterms:created>
  <dcterms:modified xsi:type="dcterms:W3CDTF">2026-09-29T08:09:15.724Z</dcterms:modified>
</cp:coreProperties>
</file>

<file path=docProps/custom.xml><?xml version="1.0" encoding="utf-8"?>
<Properties xmlns="http://schemas.openxmlformats.org/officeDocument/2006/custom-properties" xmlns:vt="http://schemas.openxmlformats.org/officeDocument/2006/docPropsVTypes"/>
</file>