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Mincho" w:eastAsia="Yu Mincho" w:hAnsi="Yu Mincho"/>
          <w:color w:val="5E6B67"/>
          <w:sz w:val="24"/>
          <w:szCs w:val="24"/>
        </w:rPr>
        <w:t xml:space="preserve">中札内村下水道事業経営戦略（案）・簡易水道事業経営戦略（案）</w:t>
      </w:r>
    </w:p>
    <w:p>
      <w:pPr>
        <w:pBdr>
          <w:bottom w:val="single" w:color="1A2422" w:sz="18" w:space="8"/>
        </w:pBdr>
        <w:spacing w:after="200"/>
      </w:pPr>
      <w:r>
        <w:rPr>
          <w:rFonts w:ascii="Yu Mincho" w:eastAsia="Yu Mincho" w:hAnsi="Yu Mincho"/>
          <w:b/>
          <w:bCs/>
          <w:color w:val="1A2422"/>
          <w:sz w:val="40"/>
          <w:szCs w:val="40"/>
        </w:rPr>
        <w:t xml:space="preserve">打合せ確認事項・影響度一覧</w:t>
      </w:r>
    </w:p>
    <w:tbl>
      <w:tblPr>
        <w:tblW w:type="dxa" w:w="9638"/>
        <w:tblBorders>
          <w:top w:val="none"/>
          <w:left w:val="none"/>
          <w:bottom w:val="none"/>
          <w:right w:val="none"/>
          <w:insideH w:val="single" w:color="C8D2CE" w:sz="4"/>
          <w:insideV w:val="none"/>
        </w:tblBorders>
      </w:tblPr>
      <w:tblGrid>
        <w:gridCol w:w="1750"/>
        <w:gridCol w:w="7888"/>
      </w:tblGrid>
      <w:tr>
        <w:tc>
          <w:tcPr>
            <w:tcW w:type="dxa" w:w="1750"/>
            <w:tcMar>
              <w:top w:type="dxa" w:w="70"/>
              <w:left w:type="dxa" w:w="110"/>
              <w:bottom w:type="dxa" w:w="70"/>
              <w:right w:type="dxa" w:w="110"/>
            </w:tcMar>
            <w:vAlign w:val="center"/>
          </w:tcPr>
          <w:p>
            <w:pPr>
              <w:spacing w:after="0" w:line="270"/>
            </w:pPr>
            <w:r>
              <w:rPr>
                <w:rFonts w:ascii="Yu Gothic" w:eastAsia="Yu Gothic" w:hAnsi="Yu Gothic"/>
                <w:b/>
                <w:bCs/>
                <w:color w:val="0E5E62"/>
                <w:sz w:val="18"/>
                <w:szCs w:val="18"/>
              </w:rPr>
              <w:t xml:space="preserve">作成日</w:t>
            </w:r>
          </w:p>
        </w:tc>
        <w:tc>
          <w:tcPr>
            <w:tcW w:type="dxa" w:w="788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令和8（2026）年10月5日</w:t>
            </w:r>
          </w:p>
        </w:tc>
      </w:tr>
      <w:tr>
        <w:tc>
          <w:tcPr>
            <w:tcW w:type="dxa" w:w="1750"/>
            <w:tcMar>
              <w:top w:type="dxa" w:w="70"/>
              <w:left w:type="dxa" w:w="110"/>
              <w:bottom w:type="dxa" w:w="70"/>
              <w:right w:type="dxa" w:w="110"/>
            </w:tcMar>
            <w:vAlign w:val="center"/>
          </w:tcPr>
          <w:p>
            <w:pPr>
              <w:spacing w:after="0" w:line="270"/>
            </w:pPr>
            <w:r>
              <w:rPr>
                <w:rFonts w:ascii="Yu Gothic" w:eastAsia="Yu Gothic" w:hAnsi="Yu Gothic"/>
                <w:b/>
                <w:bCs/>
                <w:color w:val="0E5E62"/>
                <w:sz w:val="18"/>
                <w:szCs w:val="18"/>
              </w:rPr>
              <w:t xml:space="preserve">確認事項</w:t>
            </w:r>
          </w:p>
        </w:tc>
        <w:tc>
          <w:tcPr>
            <w:tcW w:type="dxa" w:w="788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全35件（影響度 大8件・中17件・小10件）</w:t>
            </w:r>
          </w:p>
        </w:tc>
      </w:tr>
      <w:tr>
        <w:tc>
          <w:tcPr>
            <w:tcW w:type="dxa" w:w="1750"/>
            <w:tcMar>
              <w:top w:type="dxa" w:w="70"/>
              <w:left w:type="dxa" w:w="110"/>
              <w:bottom w:type="dxa" w:w="70"/>
              <w:right w:type="dxa" w:w="110"/>
            </w:tcMar>
            <w:vAlign w:val="center"/>
          </w:tcPr>
          <w:p>
            <w:pPr>
              <w:spacing w:after="0" w:line="270"/>
            </w:pPr>
            <w:r>
              <w:rPr>
                <w:rFonts w:ascii="Yu Gothic" w:eastAsia="Yu Gothic" w:hAnsi="Yu Gothic"/>
                <w:b/>
                <w:bCs/>
                <w:color w:val="0E5E62"/>
                <w:sz w:val="18"/>
                <w:szCs w:val="18"/>
              </w:rPr>
              <w:t xml:space="preserve">根拠</w:t>
            </w:r>
          </w:p>
        </w:tc>
        <w:tc>
          <w:tcPr>
            <w:tcW w:type="dxa" w:w="788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朱書き校正紙・提供資料・現行公表版・公表中経営戦略の成果品・下水道使用料改定検討協議会資料（第2回 令和8年3月／第3回 令和8年6月）の突合せ結果による</w:t>
            </w:r>
          </w:p>
        </w:tc>
      </w:tr>
    </w:tbl>
    <w:p>
      <w:pPr>
        <w:pBdr>
          <w:bottom w:val="single" w:color="0E5E62" w:sz="12" w:space="4"/>
        </w:pBdr>
        <w:spacing w:after="160" w:before="380"/>
      </w:pPr>
      <w:r>
        <w:rPr>
          <w:rFonts w:ascii="Yu Gothic" w:eastAsia="Yu Gothic" w:hAnsi="Yu Gothic"/>
          <w:b/>
          <w:bCs/>
          <w:color w:val="0E5E62"/>
          <w:sz w:val="26"/>
          <w:szCs w:val="26"/>
        </w:rPr>
        <w:t xml:space="preserve">１　</w:t>
      </w:r>
      <w:r>
        <w:rPr>
          <w:rFonts w:ascii="Yu Gothic" w:eastAsia="Yu Gothic" w:hAnsi="Yu Gothic"/>
          <w:b/>
          <w:bCs/>
          <w:color w:val="1A2422"/>
          <w:sz w:val="26"/>
          <w:szCs w:val="26"/>
        </w:rPr>
        <w:t xml:space="preserve">本書の使い方</w:t>
      </w:r>
    </w:p>
    <w:p>
      <w:pPr>
        <w:spacing w:after="120" w:before="0" w:line="300"/>
      </w:pPr>
      <w:r>
        <w:rPr>
          <w:rFonts w:ascii="Yu Gothic" w:eastAsia="Yu Gothic" w:hAnsi="Yu Gothic"/>
          <w:color w:val="1A2422"/>
          <w:sz w:val="21"/>
          <w:szCs w:val="21"/>
        </w:rPr>
        <w:t xml:space="preserve">本書は、中札内村下水道事業経営戦略（案）の修正を進めるにあたり、打合せの場でご確認いただきたい事項を整理したものである。各事項には影響度を付し、未決のまま残した場合に何が止まるのかを明記した。</w:t>
      </w:r>
    </w:p>
    <w:p>
      <w:pPr>
        <w:spacing w:after="120" w:before="0" w:line="300"/>
      </w:pPr>
      <w:r>
        <w:rPr>
          <w:rFonts w:ascii="Yu Gothic" w:eastAsia="Yu Gothic" w:hAnsi="Yu Gothic"/>
          <w:color w:val="1A2422"/>
          <w:sz w:val="21"/>
          <w:szCs w:val="21"/>
        </w:rPr>
        <w:t xml:space="preserve">回答は別添の「確認結果入力シート（Excel）」にご記入いただきたい。本書の確認事項IDと入力シートの行は1対1で対応している。選択肢を示した事項はいずれかを選び、必要に応じて補足をご記入いただければ、そのまま本文およびシミュレーションへ反映する。</w:t>
      </w:r>
    </w:p>
    <w:p>
      <w:pPr>
        <w:spacing w:after="120" w:before="0" w:line="300"/>
      </w:pPr>
      <w:r>
        <w:rPr>
          <w:rFonts w:ascii="Yu Gothic" w:eastAsia="Yu Gothic" w:hAnsi="Yu Gothic"/>
          <w:color w:val="1A2422"/>
          <w:sz w:val="21"/>
          <w:szCs w:val="21"/>
        </w:rPr>
        <w:t xml:space="preserve">なお、朱書き校正紙でご指示いただいた9件と、公表版との照合により根拠が確定した事項は、すでに本文およびシミュレーションへ反映済みである。本書はそれ以外の未決事項のみを扱う。</w:t>
      </w:r>
    </w:p>
    <w:p>
      <w:pPr>
        <w:pBdr>
          <w:bottom w:val="single" w:color="0E5E62" w:sz="12" w:space="4"/>
        </w:pBdr>
        <w:spacing w:after="160" w:before="380"/>
      </w:pPr>
      <w:r>
        <w:rPr>
          <w:rFonts w:ascii="Yu Gothic" w:eastAsia="Yu Gothic" w:hAnsi="Yu Gothic"/>
          <w:b/>
          <w:bCs/>
          <w:color w:val="0E5E62"/>
          <w:sz w:val="26"/>
          <w:szCs w:val="26"/>
        </w:rPr>
        <w:t xml:space="preserve">２　</w:t>
      </w:r>
      <w:r>
        <w:rPr>
          <w:rFonts w:ascii="Yu Gothic" w:eastAsia="Yu Gothic" w:hAnsi="Yu Gothic"/>
          <w:b/>
          <w:bCs/>
          <w:color w:val="1A2422"/>
          <w:sz w:val="26"/>
          <w:szCs w:val="26"/>
        </w:rPr>
        <w:t xml:space="preserve">影響度の区分</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900"/>
        <w:gridCol w:w="8738"/>
      </w:tblGrid>
      <w:tr>
        <w:trPr>
          <w:tblHeader/>
        </w:trPr>
        <w:tc>
          <w:tcPr>
            <w:tcW w:type="dxa" w:w="9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区分</w:t>
            </w:r>
          </w:p>
        </w:tc>
        <w:tc>
          <w:tcPr>
            <w:tcW w:type="dxa" w:w="8738"/>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定義</w:t>
            </w:r>
          </w:p>
        </w:tc>
      </w:tr>
      <w:tr>
        <w:tc>
          <w:tcPr>
            <w:tcW w:type="dxa" w:w="900"/>
            <w:tcMar>
              <w:top w:type="dxa" w:w="70"/>
              <w:left w:type="dxa" w:w="110"/>
              <w:bottom w:type="dxa" w:w="70"/>
              <w:right w:type="dxa" w:w="110"/>
            </w:tcMar>
            <w:vAlign w:val="top"/>
          </w:tcPr>
          <w:p>
            <w:pPr>
              <w:spacing w:after="0" w:line="270"/>
              <w:jc w:val="center"/>
            </w:pPr>
            <w:r>
              <w:rPr>
                <w:rFonts w:ascii="Yu Gothic" w:eastAsia="Yu Gothic" w:hAnsi="Yu Gothic"/>
                <w:b/>
                <w:bCs/>
                <w:color w:val="A33520"/>
                <w:sz w:val="18"/>
                <w:szCs w:val="18"/>
              </w:rPr>
              <w:t xml:space="preserve">大</w:t>
            </w:r>
          </w:p>
        </w:tc>
        <w:tc>
          <w:tcPr>
            <w:tcW w:type="dxa" w:w="87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収支計画・シミュレーション結果、または計画の根幹に関わる。未決のままでは本文を確定できない。</w:t>
            </w:r>
          </w:p>
        </w:tc>
      </w:tr>
      <w:tr>
        <w:tc>
          <w:tcPr>
            <w:tcW w:type="dxa" w:w="9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8A6512"/>
                <w:sz w:val="18"/>
                <w:szCs w:val="18"/>
              </w:rPr>
              <w:t xml:space="preserve">中</w:t>
            </w:r>
          </w:p>
        </w:tc>
        <w:tc>
          <w:tcPr>
            <w:tcW w:type="dxa" w:w="873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本文または図表の記載内容が変わる。影響は当該章で完結する。</w:t>
            </w:r>
          </w:p>
        </w:tc>
      </w:tr>
      <w:tr>
        <w:tc>
          <w:tcPr>
            <w:tcW w:type="dxa" w:w="900"/>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小</w:t>
            </w:r>
          </w:p>
        </w:tc>
        <w:tc>
          <w:tcPr>
            <w:tcW w:type="dxa" w:w="87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表記・データ整理のレベル。他への波及はない。</w:t>
            </w:r>
          </w:p>
        </w:tc>
      </w:tr>
    </w:tbl>
    <w:p>
      <w:pPr>
        <w:pBdr>
          <w:bottom w:val="single" w:color="0E5E62" w:sz="12" w:space="4"/>
        </w:pBdr>
        <w:spacing w:after="160" w:before="380"/>
      </w:pPr>
      <w:r>
        <w:rPr>
          <w:rFonts w:ascii="Yu Gothic" w:eastAsia="Yu Gothic" w:hAnsi="Yu Gothic"/>
          <w:b/>
          <w:bCs/>
          <w:color w:val="0E5E62"/>
          <w:sz w:val="26"/>
          <w:szCs w:val="26"/>
        </w:rPr>
        <w:t xml:space="preserve">３　</w:t>
      </w:r>
      <w:r>
        <w:rPr>
          <w:rFonts w:ascii="Yu Gothic" w:eastAsia="Yu Gothic" w:hAnsi="Yu Gothic"/>
          <w:b/>
          <w:bCs/>
          <w:color w:val="1A2422"/>
          <w:sz w:val="26"/>
          <w:szCs w:val="26"/>
        </w:rPr>
        <w:t xml:space="preserve">確認事項サマリ</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3600"/>
        <w:gridCol w:w="1200"/>
        <w:gridCol w:w="1200"/>
        <w:gridCol w:w="1200"/>
        <w:gridCol w:w="1200"/>
        <w:gridCol w:w="1238"/>
      </w:tblGrid>
      <w:tr>
        <w:trPr>
          <w:tblHeader/>
        </w:trPr>
        <w:tc>
          <w:tcPr>
            <w:tcW w:type="dxa" w:w="36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区分</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大</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中</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小</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計</w:t>
            </w:r>
          </w:p>
        </w:tc>
        <w:tc>
          <w:tcPr>
            <w:tcW w:type="dxa" w:w="1238"/>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主な影響先</w:t>
            </w:r>
          </w:p>
        </w:tc>
      </w:tr>
      <w:tr>
        <w:tc>
          <w:tcPr>
            <w:tcW w:type="dxa" w:w="3600"/>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A．事実確認・資料提供（村へ照会）</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1</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4</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1</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6</w:t>
            </w:r>
          </w:p>
        </w:tc>
        <w:tc>
          <w:tcPr>
            <w:tcW w:type="dxa" w:w="123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本文p.2・p.19・p.20</w:t>
            </w:r>
          </w:p>
        </w:tc>
      </w:tr>
      <w:tr>
        <w:tc>
          <w:tcPr>
            <w:tcW w:type="dxa" w:w="3600"/>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B．記述方針の判断</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1</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3</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2</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6</w:t>
            </w:r>
          </w:p>
        </w:tc>
        <w:tc>
          <w:tcPr>
            <w:tcW w:type="dxa" w:w="1238"/>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本文p.18・p.19・p.31</w:t>
            </w:r>
          </w:p>
        </w:tc>
      </w:tr>
      <w:tr>
        <w:tc>
          <w:tcPr>
            <w:tcW w:type="dxa" w:w="3600"/>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C．経営方針の判断</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5</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4</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5E6B67"/>
                <w:sz w:val="18"/>
                <w:szCs w:val="18"/>
              </w:rPr>
              <w:t xml:space="preserve">−</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9</w:t>
            </w:r>
          </w:p>
        </w:tc>
        <w:tc>
          <w:tcPr>
            <w:tcW w:type="dxa" w:w="123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収支計画全体</w:t>
            </w:r>
          </w:p>
        </w:tc>
      </w:tr>
      <w:tr>
        <w:tc>
          <w:tcPr>
            <w:tcW w:type="dxa" w:w="3600"/>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D．データ整理の判断</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1</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2</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5</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8</w:t>
            </w:r>
          </w:p>
        </w:tc>
        <w:tc>
          <w:tcPr>
            <w:tcW w:type="dxa" w:w="1238"/>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Excel・図表</w:t>
            </w:r>
          </w:p>
        </w:tc>
      </w:tr>
      <w:tr>
        <w:tc>
          <w:tcPr>
            <w:tcW w:type="dxa" w:w="3600"/>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E．簡易水道側の確認事項</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val="false"/>
                <w:bCs w:val="false"/>
                <w:color w:val="5E6B67"/>
                <w:sz w:val="18"/>
                <w:szCs w:val="18"/>
              </w:rPr>
              <w:t xml:space="preserve">−</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4</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2</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6</w:t>
            </w:r>
          </w:p>
        </w:tc>
        <w:tc>
          <w:tcPr>
            <w:tcW w:type="dxa" w:w="123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undefined</w:t>
            </w:r>
          </w:p>
        </w:tc>
      </w:tr>
      <w:tr>
        <w:tc>
          <w:tcPr>
            <w:tcW w:type="dxa" w:w="3600"/>
            <w:shd w:fill="F5F8F7"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合計</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8</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8A6512"/>
                <w:sz w:val="18"/>
                <w:szCs w:val="18"/>
              </w:rPr>
              <w:t xml:space="preserve">17</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2F6B45"/>
                <w:sz w:val="18"/>
                <w:szCs w:val="18"/>
              </w:rPr>
              <w:t xml:space="preserve">10</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35</w:t>
            </w:r>
          </w:p>
        </w:tc>
        <w:tc>
          <w:tcPr>
            <w:tcW w:type="dxa" w:w="1238"/>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
            </w:r>
          </w:p>
        </w:tc>
      </w:tr>
    </w:tbl>
    <w:p>
      <w:pPr>
        <w:spacing w:after="120" w:before="280"/>
      </w:pPr>
      <w:r>
        <w:rPr>
          <w:rFonts w:ascii="Yu Gothic" w:eastAsia="Yu Gothic" w:hAnsi="Yu Gothic"/>
          <w:b/>
          <w:bCs/>
          <w:color w:val="0E5E62"/>
          <w:sz w:val="22"/>
          <w:szCs w:val="22"/>
        </w:rPr>
        <w:t xml:space="preserve">■　優先してご確認いただきたい事項（影響度 大）</w:t>
      </w:r>
    </w:p>
    <w:p>
      <w:pPr>
        <w:spacing w:after="120" w:before="0" w:line="300"/>
      </w:pPr>
      <w:r>
        <w:rPr>
          <w:rFonts w:ascii="Yu Gothic" w:eastAsia="Yu Gothic" w:hAnsi="Yu Gothic"/>
          <w:color w:val="1A2422"/>
          <w:sz w:val="21"/>
          <w:szCs w:val="21"/>
        </w:rPr>
        <w:t xml:space="preserve">次の5件は、決まらないと本文または収支計画を確定できない。打合せではこの5件を先にお願いしたい。</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760"/>
        <w:gridCol w:w="2700"/>
        <w:gridCol w:w="1100"/>
        <w:gridCol w:w="5078"/>
      </w:tblGrid>
      <w:tr>
        <w:trPr>
          <w:tblHeader/>
        </w:trPr>
        <w:tc>
          <w:tcPr>
            <w:tcW w:type="dxa" w:w="76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ID</w:t>
            </w:r>
          </w:p>
        </w:tc>
        <w:tc>
          <w:tcPr>
            <w:tcW w:type="dxa" w:w="27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確認事項</w:t>
            </w:r>
          </w:p>
        </w:tc>
        <w:tc>
          <w:tcPr>
            <w:tcW w:type="dxa" w:w="11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状態</w:t>
            </w:r>
          </w:p>
        </w:tc>
        <w:tc>
          <w:tcPr>
            <w:tcW w:type="dxa" w:w="5078"/>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決まらないと止まること</w:t>
            </w:r>
          </w:p>
        </w:tc>
      </w:tr>
      <w:tr>
        <w:tc>
          <w:tcPr>
            <w:tcW w:type="dxa" w:w="760"/>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A-1</w:t>
            </w:r>
          </w:p>
        </w:tc>
        <w:tc>
          <w:tcPr>
            <w:tcW w:type="dxa" w:w="27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中札内浄化センターの主要施設一覧</w:t>
            </w:r>
          </w:p>
        </w:tc>
        <w:tc>
          <w:tcPr>
            <w:tcW w:type="dxa" w:w="1100"/>
            <w:tcMar>
              <w:top w:type="dxa" w:w="70"/>
              <w:left w:type="dxa" w:w="110"/>
              <w:bottom w:type="dxa" w:w="70"/>
              <w:right w:type="dxa" w:w="110"/>
            </w:tcMar>
            <w:vAlign w:val="top"/>
          </w:tcPr>
          <w:p>
            <w:pPr>
              <w:spacing w:after="0" w:line="270"/>
              <w:jc w:val="center"/>
            </w:pPr>
            <w:r>
              <w:rPr>
                <w:rFonts w:ascii="Yu Gothic" w:eastAsia="Yu Gothic" w:hAnsi="Yu Gothic"/>
                <w:b/>
                <w:bCs/>
                <w:color w:val="8A6512"/>
                <w:sz w:val="18"/>
                <w:szCs w:val="18"/>
              </w:rPr>
              <w:t xml:space="preserve">照会中</w:t>
            </w:r>
          </w:p>
        </w:tc>
        <w:tc>
          <w:tcPr>
            <w:tcW w:type="dxa" w:w="507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p.20が他団体の記載のまま確定できず、本文を完成できない。</w:t>
            </w:r>
          </w:p>
        </w:tc>
      </w:tr>
      <w:tr>
        <w:tc>
          <w:tcPr>
            <w:tcW w:type="dxa" w:w="76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B-2</w:t>
            </w:r>
          </w:p>
        </w:tc>
        <w:tc>
          <w:tcPr>
            <w:tcW w:type="dxa" w:w="27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将来人口の推計根拠（論点G）</w:t>
            </w:r>
          </w:p>
        </w:tc>
        <w:tc>
          <w:tcPr>
            <w:tcW w:type="dxa" w:w="11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反映済</w:t>
            </w:r>
          </w:p>
        </w:tc>
        <w:tc>
          <w:tcPr>
            <w:tcW w:type="dxa" w:w="507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推計の根拠が不明確なまま、以降の有収水量・使用料収入の予測全体の説明が成り立たない。</w:t>
            </w:r>
          </w:p>
        </w:tc>
      </w:tr>
      <w:tr>
        <w:tc>
          <w:tcPr>
            <w:tcW w:type="dxa" w:w="760"/>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C-1</w:t>
            </w:r>
          </w:p>
        </w:tc>
        <w:tc>
          <w:tcPr>
            <w:tcW w:type="dxa" w:w="27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使用料改定の時期と改定率（論点C）</w:t>
            </w:r>
          </w:p>
        </w:tc>
        <w:tc>
          <w:tcPr>
            <w:tcW w:type="dxa" w:w="1100"/>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反映済</w:t>
            </w:r>
          </w:p>
        </w:tc>
        <w:tc>
          <w:tcPr>
            <w:tcW w:type="dxa" w:w="507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公表済みの方針を説明なく大幅に緩和することになり、交付金の要件審査で指摘を受けるおそれがある。</w:t>
            </w:r>
          </w:p>
        </w:tc>
      </w:tr>
      <w:tr>
        <w:tc>
          <w:tcPr>
            <w:tcW w:type="dxa" w:w="76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C-2</w:t>
            </w:r>
          </w:p>
        </w:tc>
        <w:tc>
          <w:tcPr>
            <w:tcW w:type="dxa" w:w="27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他会計補助金（繰入金）の前提（論点D）</w:t>
            </w:r>
          </w:p>
        </w:tc>
        <w:tc>
          <w:tcPr>
            <w:tcW w:type="dxa" w:w="11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反映不要</w:t>
            </w:r>
          </w:p>
        </w:tc>
        <w:tc>
          <w:tcPr>
            <w:tcW w:type="dxa" w:w="507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繰入金は経常収支比率を直接押し上げるため、パターン2が目標達成とされる根拠そのものが変わる。</w:t>
            </w:r>
          </w:p>
        </w:tc>
      </w:tr>
      <w:tr>
        <w:tc>
          <w:tcPr>
            <w:tcW w:type="dxa" w:w="760"/>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C-3</w:t>
            </w:r>
          </w:p>
        </w:tc>
        <w:tc>
          <w:tcPr>
            <w:tcW w:type="dxa" w:w="27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令和8年度以降の投資計画の配分</w:t>
            </w:r>
          </w:p>
        </w:tc>
        <w:tc>
          <w:tcPr>
            <w:tcW w:type="dxa" w:w="1100"/>
            <w:tcMar>
              <w:top w:type="dxa" w:w="70"/>
              <w:left w:type="dxa" w:w="110"/>
              <w:bottom w:type="dxa" w:w="70"/>
              <w:right w:type="dxa" w:w="110"/>
            </w:tcMar>
            <w:vAlign w:val="top"/>
          </w:tcPr>
          <w:p>
            <w:pPr>
              <w:spacing w:after="0" w:line="270"/>
              <w:jc w:val="center"/>
            </w:pPr>
            <w:r>
              <w:rPr>
                <w:rFonts w:ascii="Yu Gothic" w:eastAsia="Yu Gothic" w:hAnsi="Yu Gothic"/>
                <w:b/>
                <w:bCs/>
                <w:color w:val="8A6512"/>
                <w:sz w:val="18"/>
                <w:szCs w:val="18"/>
              </w:rPr>
              <w:t xml:space="preserve">方針待ち</w:t>
            </w:r>
          </w:p>
        </w:tc>
        <w:tc>
          <w:tcPr>
            <w:tcW w:type="dxa" w:w="507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投資額が動くと減価償却費・支払利息・企業債残高が連動し、収支計画とシミュレーション結果がすべて変わる。</w:t>
            </w:r>
          </w:p>
        </w:tc>
      </w:tr>
      <w:tr>
        <w:tc>
          <w:tcPr>
            <w:tcW w:type="dxa" w:w="76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C-9</w:t>
            </w:r>
          </w:p>
        </w:tc>
        <w:tc>
          <w:tcPr>
            <w:tcW w:type="dxa" w:w="27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改定の構造が協議会の方向性と根本的に異なる</w:t>
            </w:r>
          </w:p>
        </w:tc>
        <w:tc>
          <w:tcPr>
            <w:tcW w:type="dxa" w:w="11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反映済</w:t>
            </w:r>
          </w:p>
        </w:tc>
        <w:tc>
          <w:tcPr>
            <w:tcW w:type="dxa" w:w="507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経営戦略のシミュレーションと協議会で説明している改定案が別物のまま公表される。</w:t>
            </w:r>
          </w:p>
        </w:tc>
      </w:tr>
      <w:tr>
        <w:tc>
          <w:tcPr>
            <w:tcW w:type="dxa" w:w="760"/>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E-9</w:t>
            </w:r>
          </w:p>
        </w:tc>
        <w:tc>
          <w:tcPr>
            <w:tcW w:type="dxa" w:w="27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簡易水道の給水原価・料金回収率の算式に誤りがあった</w:t>
            </w:r>
          </w:p>
        </w:tc>
        <w:tc>
          <w:tcPr>
            <w:tcW w:type="dxa" w:w="1100"/>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仮反映済</w:t>
            </w:r>
          </w:p>
        </w:tc>
        <w:tc>
          <w:tcPr>
            <w:tcW w:type="dxa" w:w="507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給水原価・料金回収率が経営比較分析表と別定義になり、目標達成の判定そのものが変わる。</w:t>
            </w:r>
          </w:p>
        </w:tc>
      </w:tr>
      <w:tr>
        <w:tc>
          <w:tcPr>
            <w:tcW w:type="dxa" w:w="76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E-10</w:t>
            </w:r>
          </w:p>
        </w:tc>
        <w:tc>
          <w:tcPr>
            <w:tcW w:type="dxa" w:w="27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簡易水道の目標❷「料金回収率の上昇」が現状予測では未達</w:t>
            </w:r>
          </w:p>
        </w:tc>
        <w:tc>
          <w:tcPr>
            <w:tcW w:type="dxa" w:w="11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8A6512"/>
                <w:sz w:val="18"/>
                <w:szCs w:val="18"/>
              </w:rPr>
              <w:t xml:space="preserve">方針待ち</w:t>
            </w:r>
          </w:p>
        </w:tc>
        <w:tc>
          <w:tcPr>
            <w:tcW w:type="dxa" w:w="507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目標未達のまま改定の検討を示さないと、経営戦略として成立しない。一方で改定を織り込む場合は下水道と同様に料金改定シミュレーションの作成が必要になる。</w:t>
            </w:r>
          </w:p>
        </w:tc>
      </w:tr>
    </w:tbl>
    <w:p>
      <w:pPr>
        <w:pBdr>
          <w:bottom w:val="single" w:color="0E5E62" w:sz="12" w:space="4"/>
        </w:pBdr>
        <w:spacing w:after="160" w:before="380"/>
      </w:pPr>
      <w:r>
        <w:rPr>
          <w:rFonts w:ascii="Yu Gothic" w:eastAsia="Yu Gothic" w:hAnsi="Yu Gothic"/>
          <w:b/>
          <w:bCs/>
          <w:color w:val="0E5E62"/>
          <w:sz w:val="26"/>
          <w:szCs w:val="26"/>
        </w:rPr>
        <w:t xml:space="preserve">４　</w:t>
      </w:r>
      <w:r>
        <w:rPr>
          <w:rFonts w:ascii="Yu Gothic" w:eastAsia="Yu Gothic" w:hAnsi="Yu Gothic"/>
          <w:b/>
          <w:bCs/>
          <w:color w:val="1A2422"/>
          <w:sz w:val="26"/>
          <w:szCs w:val="26"/>
        </w:rPr>
        <w:t xml:space="preserve">確認事項</w:t>
      </w:r>
    </w:p>
    <w:p>
      <w:pPr>
        <w:spacing w:after="120" w:before="280"/>
      </w:pPr>
      <w:r>
        <w:rPr>
          <w:rFonts w:ascii="Yu Gothic" w:eastAsia="Yu Gothic" w:hAnsi="Yu Gothic"/>
          <w:b/>
          <w:bCs/>
          <w:color w:val="0E5E62"/>
          <w:sz w:val="22"/>
          <w:szCs w:val="22"/>
        </w:rPr>
        <w:t xml:space="preserve">A．事実確認・資料提供（村へ照会）　（6件）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A-1</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中札内浄化センターの主要施設一覧</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現行p.20の「■処理場の概要」および主要施設一覧は、施設名が「三戸浄化センター」となっており他団体の諸元がそのまま残存している。提供資料「施設の概要.pdf」および公表版にも設備構成のデータ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敷地面積・放流水質・設備構成（流入渠、ポンプ台数、オキシデーションディッチ池数、最終沈殿池、塩素接触タンク、汚泥脱水機、受変電設備等）を施設台帳または竣工図書からご提供いただきたい。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回答形式</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資料のご提供（自由記述）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本文p.20（処理場の概要・主要施設一覧）</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p.20が他団体の記載のまま確定できず、本文を完成できない。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p.20の概要表は提供資料の諸元へ差替済み（10/1）。主要施設の一覧のみ未入手。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A-2</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仮反映済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管渠延長25,270.66mの基準時点</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提供資料「管渠延長.pdf」の経過年数は令和7年度を基準としているのに対し、本文は「令和5年度末の時点で」と記載している。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総管渠延長25,270.66mがどの時点の値か。本文の時点表記をどちらに揃えるか。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令和5年度末時点として記載</w:t>
            </w:r>
            <w:r>
              <w:br/>
              <w:t xml:space="preserve"/>
            </w:r>
            <w:r>
              <w:rPr>
                <w:rFonts w:ascii="Yu Gothic" w:eastAsia="Yu Gothic" w:hAnsi="Yu Gothic"/>
                <w:color w:val="1A2422"/>
                <w:sz w:val="18"/>
                <w:szCs w:val="18"/>
              </w:rPr>
              <w:t xml:space="preserve">□ 令和7年度時点として記載</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本文p.19（管渠の状況）</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延長値と時点の組合せが不整合のまま公表される。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令和5年度末時点として本文へ仮反映済み（10/1）。基準時点のご確認をお願いしたい。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A-3</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事業計画上の総延長27,560mとの差</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提供資料「施設の概要.pdf」の管路施設・総延長（汚水）は27,560mであるのに対し、「管渠延長.pdf」の実績合計は25,270.66m。差は約2,290m。</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差の内訳（未整備分か、圧送管・取付管等の算入範囲の違いか）。本文には計画値と実績値のどちらを記載するか。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実績値25,270.66mを記載</w:t>
            </w:r>
            <w:r>
              <w:br/>
              <w:t xml:space="preserve"/>
            </w:r>
            <w:r>
              <w:rPr>
                <w:rFonts w:ascii="Yu Gothic" w:eastAsia="Yu Gothic" w:hAnsi="Yu Gothic"/>
                <w:color w:val="1A2422"/>
                <w:sz w:val="18"/>
                <w:szCs w:val="18"/>
              </w:rPr>
              <w:t xml:space="preserve">□ 計画値27,560mを記載</w:t>
            </w:r>
            <w:r>
              <w:br/>
              <w:t xml:space="preserve"/>
            </w:r>
            <w:r>
              <w:rPr>
                <w:rFonts w:ascii="Yu Gothic" w:eastAsia="Yu Gothic" w:hAnsi="Yu Gothic"/>
                <w:color w:val="1A2422"/>
                <w:sz w:val="18"/>
                <w:szCs w:val="18"/>
              </w:rPr>
              <w:t xml:space="preserve">□ 両方を併記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本文p.19・p.20</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管渠関係の数値が本文内で二重基準になる。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処理場の処理能力（論点F）</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は1,520㎥/日（760㎥/日×2池）。一方、令和5年度の有収水量357,117㎥を有収率101.76%で割り戻すと総処理水量は約962㎥/日となり、経営比較分析表の施設利用率71.78%で割り戻すと1日処理能力は約1,340㎥/日となる。約12%の開き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認可処理能力と現有処理能力の違いによるものか、分析表の算定根拠によるものか。本文p.20にはどちらの値を記載するか。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1,520㎥/日（提供資料）を記載</w:t>
            </w:r>
            <w:r>
              <w:br/>
              <w:t xml:space="preserve"/>
            </w:r>
            <w:r>
              <w:rPr>
                <w:rFonts w:ascii="Yu Gothic" w:eastAsia="Yu Gothic" w:hAnsi="Yu Gothic"/>
                <w:color w:val="1A2422"/>
                <w:sz w:val="18"/>
                <w:szCs w:val="18"/>
              </w:rPr>
              <w:t xml:space="preserve">□ 現有能力の実数値を記載</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本文p.20・経営指標の説明</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施設利用率の説明と処理能力の記載が整合しない。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A-5</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全体計画人口2,810人の出典</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本文p.2に「全体計画人口は2,810人と設定されていますが」とあるが、提供資料の計画区域内人口は2,661人（事業計画・目標年次令和7年度）であり、公表版にも2,810人の記載がない。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2,810人の出典（全体計画の目標年次令和13年度の値か）。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全体計画（令和13年度）の値</w:t>
            </w:r>
            <w:r>
              <w:br/>
              <w:t xml:space="preserve"/>
            </w:r>
            <w:r>
              <w:rPr>
                <w:rFonts w:ascii="Yu Gothic" w:eastAsia="Yu Gothic" w:hAnsi="Yu Gothic"/>
                <w:color w:val="1A2422"/>
                <w:sz w:val="18"/>
                <w:szCs w:val="18"/>
              </w:rPr>
              <w:t xml:space="preserve">□ 事業計画（令和7年度）の2,661人に置換</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出典不明の数値が残る。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A-6</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簡易水道の実績値のご提供</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シミュレーションの「簡水過去」シートが三戸町の実績値（行政区域内人口11,023→8,699人等）のまま。下水道の試算には波及しないことを確認済みだが、同一ブック内の簡易水道の推計に影響する。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簡易水道の平成26〜令和6年度実績（行政区域内人口・給水人口・給水戸数・年間総配水量・有収水量・料金収入）のご提供。</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回答形式</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資料のご提供（自由記述）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Excel「簡水過去」「予測(2)P1〜P4」の簡水部分・「簡水現況予測」</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簡易水道側の推計が他団体データのまま残る。</w:t>
            </w:r>
          </w:p>
        </w:tc>
      </w:tr>
    </w:tbl>
    <w:p>
      <w:pPr>
        <w:spacing w:after="160"/>
      </w:pPr>
    </w:p>
    <w:p>
      <w:pPr>
        <w:spacing w:after="120" w:before="280"/>
      </w:pPr>
      <w:r>
        <w:rPr>
          <w:rFonts w:ascii="Yu Gothic" w:eastAsia="Yu Gothic" w:hAnsi="Yu Gothic"/>
          <w:b/>
          <w:bCs/>
          <w:color w:val="0E5E62"/>
          <w:sz w:val="22"/>
          <w:szCs w:val="22"/>
        </w:rPr>
        <w:t xml:space="preserve">B．記述方針の判断　（6件）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B-1</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汚水処理原価が高い原因の記述（論点B）</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18は「現状の施設能力に対して稼働が正しく賄えていない状況です」としているが、公表版の分析欄は施設利用率71.78%（類似団体平均42.09%）をもって「全国平均や類似団体平均値と比較し高い利用率であり、適正規模での施設運営であるといえる」としており、説明が逆にな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どちらの説明に揃えるか。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公表版に合わせ「人口密度が低く資本費負担が大きい」旨に改める</w:t>
            </w:r>
            <w:r>
              <w:br/>
              <w:t xml:space="preserve"/>
            </w:r>
            <w:r>
              <w:rPr>
                <w:rFonts w:ascii="Yu Gothic" w:eastAsia="Yu Gothic" w:hAnsi="Yu Gothic"/>
                <w:color w:val="1A2422"/>
                <w:sz w:val="18"/>
                <w:szCs w:val="18"/>
              </w:rPr>
              <w:t xml:space="preserve">□ 現行の記述を維持</w:t>
            </w:r>
            <w:r>
              <w:br/>
              <w:t xml:space="preserve"/>
            </w:r>
            <w:r>
              <w:rPr>
                <w:rFonts w:ascii="Yu Gothic" w:eastAsia="Yu Gothic" w:hAnsi="Yu Gothic"/>
                <w:color w:val="1A2422"/>
                <w:sz w:val="18"/>
                <w:szCs w:val="18"/>
              </w:rPr>
              <w:t xml:space="preserve">□ 両論を併記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本文p.18（経営状況分析から見える本村の特徴）</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公表版と真逆の原因分析が並立する。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B-2</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将来人口の推計根拠（論点G）</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本文の同じ節（Ⅲ-1 有収水量の予測）の中で、説明文は「国立社会保障・人口問題研究所による推計から算出」、直後の前提条件ボックスは「第7期中札内村まちづくり計画より村独自推計」としており矛盾している。公表版3頁は村独自推計と明記。</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推計根拠をどちらに統一するか。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村独自推計（第7期まちづくり計画）に統一</w:t>
            </w:r>
            <w:r>
              <w:br/>
              <w:t xml:space="preserve"/>
            </w:r>
            <w:r>
              <w:rPr>
                <w:rFonts w:ascii="Yu Gothic" w:eastAsia="Yu Gothic" w:hAnsi="Yu Gothic"/>
                <w:color w:val="1A2422"/>
                <w:sz w:val="18"/>
                <w:szCs w:val="18"/>
              </w:rPr>
              <w:t xml:space="preserve">□ 社人研推計に統一</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本文p.31（予測の考え方）・人口予測グラフ（p.23）・Excel「予測」シート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推計の根拠が不明確なまま、以降の有収水量・使用料収入の予測全体の説明が成り立たない。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で確定。検討報告書に「行政人口の将来推計値は、村の将来の最新展望である『第7期中札内村まちづくり計画（令和4年3月策定）』における将来推計値を採用する」と明記。将来人口予測ファイルにも社人研・人口ビジョン・まちづくり計画を並べた「採用値」列があり、備考は全年度「採用値＝総合計画」。本文を村独自推計へ修正済み（10/3）。</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B-3</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普及率・水洗化率の平均年度（論点G付随）</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同じ節で、説明文は「令和4年度から令和6年度の3か年実績の平均」、前提条件ボックスは「令和3年度から令和5年度までの過去3か年実績の平均」としており食い違っている。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どちらの3か年に統一するか。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令和3〜5年度</w:t>
            </w:r>
            <w:r>
              <w:br/>
              <w:t xml:space="preserve"/>
            </w:r>
            <w:r>
              <w:rPr>
                <w:rFonts w:ascii="Yu Gothic" w:eastAsia="Yu Gothic" w:hAnsi="Yu Gothic"/>
                <w:color w:val="1A2422"/>
                <w:sz w:val="18"/>
                <w:szCs w:val="18"/>
              </w:rPr>
              <w:t xml:space="preserve">□ 令和4〜6年度</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本文p.31・Excel「予測」シートの係数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推計の前提が二通り記載されたままになる。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で確定。「3か年実績の平均」ではなく、普及率・水洗化率・有収水量原単位とも「過去5年間でほぼ横ばいのため令和5年度実績を基準」とするのが実際の設定方法。本文と前提条件ボックスを修正済み（10/3）。</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p.19に記載する下水道普及率</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現行は「村内での下水道普及率はほぼ100%となっています」で明らかに誤り。公表版では経営比較分析表が69.48%（令和5年度決算）、本体3頁が処理区域内人口比率70.9%としており、根拠が2通りある。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どちらの値・指標名で記載するか。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69.48%（経営比較分析表・普及率）</w:t>
            </w:r>
            <w:r>
              <w:br/>
              <w:t xml:space="preserve"/>
            </w:r>
            <w:r>
              <w:rPr>
                <w:rFonts w:ascii="Yu Gothic" w:eastAsia="Yu Gothic" w:hAnsi="Yu Gothic"/>
                <w:color w:val="1A2422"/>
                <w:sz w:val="18"/>
                <w:szCs w:val="18"/>
              </w:rPr>
              <w:t xml:space="preserve">□ 70.9%（処理区域内人口比率）</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誤った普及率が残るか、公表値と異なる値を記載してしまう。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公表成果品で確定。検討報告書「将来の普及率=70.9%」。10/1に仮反映した69.5%（経営比較分析表の値）を70.9%へ訂正済み（10/3）。</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B-5</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仮反映済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「（管更生含む）」の但書の要否</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本文p.19の総管渠延長に「（管更生含む）」の但書があるが、経営比較分析表の管渠改善率は0.00%であり管更生の実績が確認できない。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但書を残すか削除するか。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削除する</w:t>
            </w:r>
            <w:r>
              <w:br/>
              <w:t xml:space="preserve"/>
            </w:r>
            <w:r>
              <w:rPr>
                <w:rFonts w:ascii="Yu Gothic" w:eastAsia="Yu Gothic" w:hAnsi="Yu Gothic"/>
                <w:color w:val="1A2422"/>
                <w:sz w:val="18"/>
                <w:szCs w:val="18"/>
              </w:rPr>
              <w:t xml:space="preserve">□ 残す（管更生の実績あり）</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実績のない但書が残る。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提供資料に管更生の区分がないため但書を削除して仮反映済み（10/1）。</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B-6</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有収水量原単位の年換算係数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の将来人口予測ファイルは有収水量原単位を0.249㎥/人/日（令和5年度実績）とし、日次で積み上げている（0.249×365＝90.885㎥/人/年）。一方、改定案のExcel「予測」シートは91.1㎥/人/年を直接乗じており、令和7年度で510㎥（0.21％）、使用料収入で約87千円/年の差が生じ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原単位を成果品と同じ日次ベース（0.249㎥/人/日）に揃えるか、現行の91.1㎥/人/年を維持するか。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成果品と同じ0.249㎥/人/日へ揃える</w:t>
            </w:r>
            <w:r>
              <w:br/>
              <w:t xml:space="preserve"/>
            </w:r>
            <w:r>
              <w:rPr>
                <w:rFonts w:ascii="Yu Gothic" w:eastAsia="Yu Gothic" w:hAnsi="Yu Gothic"/>
                <w:color w:val="1A2422"/>
                <w:sz w:val="18"/>
                <w:szCs w:val="18"/>
              </w:rPr>
              <w:t xml:space="preserve">□ 現行の91.1㎥/人/年を維持</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Excel「予測」シート19行・有収水量と使用料収入の予測（p.23・p.24）</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公表済みの成果品と推計方法が微妙に食い違ったまま残る。</w:t>
            </w:r>
          </w:p>
        </w:tc>
      </w:tr>
    </w:tbl>
    <w:p>
      <w:pPr>
        <w:spacing w:after="160"/>
      </w:pPr>
    </w:p>
    <w:p>
      <w:pPr>
        <w:spacing w:after="120" w:before="280"/>
      </w:pPr>
      <w:r>
        <w:rPr>
          <w:rFonts w:ascii="Yu Gothic" w:eastAsia="Yu Gothic" w:hAnsi="Yu Gothic"/>
          <w:b/>
          <w:bCs/>
          <w:color w:val="0E5E62"/>
          <w:sz w:val="22"/>
          <w:szCs w:val="22"/>
        </w:rPr>
        <w:t xml:space="preserve">C．経営方針の判断　（9件）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C-1</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使用料改定の時期と改定率（論点C）</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版の投資・財政計画は令和8年度から料金収入を61,683千円→98,928千円（＋60.4%）とする引上げを織り込み済み。一方、改定案のシミュレーションは令和9年度からの10〜30%改定（採用案はパターン2＝15%）で、前提の大幅な下方修正かつ1年の後ろ倒しと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改定の時期と率をどう設定するか。社会資本整備総合交付金の支給要件（使用料適正化のロードマップ記載）との整合も含めて方針を確認したい。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改定案どおり 令和9年度・15%（パターン2）</w:t>
            </w:r>
            <w:r>
              <w:br/>
              <w:t xml:space="preserve"/>
            </w:r>
            <w:r>
              <w:rPr>
                <w:rFonts w:ascii="Yu Gothic" w:eastAsia="Yu Gothic" w:hAnsi="Yu Gothic"/>
                <w:color w:val="1A2422"/>
                <w:sz w:val="18"/>
                <w:szCs w:val="18"/>
              </w:rPr>
              <w:t xml:space="preserve">□ 公表版どおり 令和8年度・約60%</w:t>
            </w:r>
            <w:r>
              <w:br/>
              <w:t xml:space="preserve"/>
            </w:r>
            <w:r>
              <w:rPr>
                <w:rFonts w:ascii="Yu Gothic" w:eastAsia="Yu Gothic" w:hAnsi="Yu Gothic"/>
                <w:color w:val="1A2422"/>
                <w:sz w:val="18"/>
                <w:szCs w:val="18"/>
              </w:rPr>
              <w:t xml:space="preserve">□ 別の時期・率を設定</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本文p.27〜32・ロードマップ・Excelシミュレーション全体／交付金の支給要件</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公表済みの方針を説明なく大幅に緩和することになり、交付金の要件審査で指摘を受けるおそれがある。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決定】使用料改定は令和９（２０２７）年度から適用する（村のご指示）。Excelのシミュレーションは当初から令和９年度を改定初年度としているため数値の変更はなく、本文p.27に適用開始年度と使用料算定期間（令和９〜令和１３年度）を明記した。改定の中身はC-9のとおり協議会案（一般改定＋水質使用料）に組み替え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C-2</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反映不要</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他会計補助金（繰入金）の前提（論点D）</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公表版は他会計補助金を令和7年度55,771千円としているのに対し、改定案のExcelは88,514千円（公表版の令和6年度値）を置いている。差は＋32,743千円。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令和7年度以降の繰入金をどの水準で見込むか。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改定案どおり 88,514千円</w:t>
            </w:r>
            <w:r>
              <w:br/>
              <w:t xml:space="preserve"/>
            </w:r>
            <w:r>
              <w:rPr>
                <w:rFonts w:ascii="Yu Gothic" w:eastAsia="Yu Gothic" w:hAnsi="Yu Gothic"/>
                <w:color w:val="1A2422"/>
                <w:sz w:val="18"/>
                <w:szCs w:val="18"/>
              </w:rPr>
              <w:t xml:space="preserve">□ 公表版どおり 55,771千円</w:t>
            </w:r>
            <w:r>
              <w:br/>
              <w:t xml:space="preserve"/>
            </w:r>
            <w:r>
              <w:rPr>
                <w:rFonts w:ascii="Yu Gothic" w:eastAsia="Yu Gothic" w:hAnsi="Yu Gothic"/>
                <w:color w:val="1A2422"/>
                <w:sz w:val="18"/>
                <w:szCs w:val="18"/>
              </w:rPr>
              <w:t xml:space="preserve">□ 別途設定</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収支計画全体・経常収支比率・シミュレーションのパターン判定</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繰入金は経常収支比率を直接押し上げるため、パターン2が目標達成とされる根拠そのものが変わる。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繰入金は現行の計算方法（令和7年度88,514千円を起点とし、基準外繰入を年5％逓減）を正とするご指示。Excelの数値変更は不要。ただし C-7 の技術的な不具合あり。</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C-3</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令和8年度以降の投資計画の配分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7年度は93,100千円で公表版と一致することを確認したが、令和8年度以降は配分が大きく異なる（令和9年度：公表版424,000千円／改定案749,000千円、令和10年度：公表版192,000千円／改定案50,000千円、令和11年度：公表版19,426千円／改定案99,426千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改定案の配分で確定してよいか。変更する場合の年度別事業費。</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改定案の配分で確定</w:t>
            </w:r>
            <w:r>
              <w:br/>
              <w:t xml:space="preserve"/>
            </w:r>
            <w:r>
              <w:rPr>
                <w:rFonts w:ascii="Yu Gothic" w:eastAsia="Yu Gothic" w:hAnsi="Yu Gothic"/>
                <w:color w:val="1A2422"/>
                <w:sz w:val="18"/>
                <w:szCs w:val="18"/>
              </w:rPr>
              <w:t xml:space="preserve">□ 公表版の配分に戻す</w:t>
            </w:r>
            <w:r>
              <w:br/>
              <w:t xml:space="preserve"/>
            </w:r>
            <w:r>
              <w:rPr>
                <w:rFonts w:ascii="Yu Gothic" w:eastAsia="Yu Gothic" w:hAnsi="Yu Gothic"/>
                <w:color w:val="1A2422"/>
                <w:sz w:val="18"/>
                <w:szCs w:val="18"/>
              </w:rPr>
              <w:t xml:space="preserve">□ 別途調整</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本文p.25・p.26・収支計画全体</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投資額が動くと減価償却費・支払利息・企業債残高が連動し、収支計画とシミュレーション結果がすべて変わる。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経営指標の目標値</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現行案は「経常収支比率を計画期間内で100%以上維持し、経費回収率を令和5年度基準57.86%から上昇させる」を目標としている。C-1〜C-3の決定とExcelの再計算により達成可否が変わる可能性がある。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目標値を現行どおりとするか、再計算結果を踏まえて見直すか。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現行の目標値を維持</w:t>
            </w:r>
            <w:r>
              <w:br/>
              <w:t xml:space="preserve"/>
            </w:r>
            <w:r>
              <w:rPr>
                <w:rFonts w:ascii="Yu Gothic" w:eastAsia="Yu Gothic" w:hAnsi="Yu Gothic"/>
                <w:color w:val="1A2422"/>
                <w:sz w:val="18"/>
                <w:szCs w:val="18"/>
              </w:rPr>
              <w:t xml:space="preserve">□ 再計算結果を踏まえて見直す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本文p.32・ロードマップ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再計算後に目標未達となった場合、記載の整合が取れなくなる。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C-7</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繰入金計算ブロックの技術的な不具合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現況予測」98〜107行の他会計繰入金ブロックに3点の問題がある。①年度ラベル（99・100行）が「令和8年度／2026」始まりで、本体（25・26行および109行＝令和7年度／2025始まり）より1年ずれている。値そのものは本体と正しく対応している（102行の基準内繰入金が本体23行と完全一致）ため実害はないが、読み手が1年ずれて解釈する危険がある。②102行の基準内繰入金が直接入力の数値。本体23行は「＝P49−P35＋P51」の算式であり、現状は一致しているが、投資計画（C-3）や企業債を見直すと本体だけが動き繰入金が更新されない。③令和7年度の補助金（33行）88,514千円が直接入力。循環参照を断つアンカーとしては妥当だが根拠の記載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①年度ラベルの修正、②基準内繰入金を本体への参照に変更、③アンカー値の根拠記載。いずれも対応してよいか。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3点とも対応する</w:t>
            </w:r>
            <w:r>
              <w:br/>
              <w:t xml:space="preserve"/>
            </w:r>
            <w:r>
              <w:rPr>
                <w:rFonts w:ascii="Yu Gothic" w:eastAsia="Yu Gothic" w:hAnsi="Yu Gothic"/>
                <w:color w:val="1A2422"/>
                <w:sz w:val="18"/>
                <w:szCs w:val="18"/>
              </w:rPr>
              <w:t xml:space="preserve">□ ①②のみ対応</w:t>
            </w:r>
            <w:r>
              <w:br/>
              <w:t xml:space="preserve"/>
            </w:r>
            <w:r>
              <w:rPr>
                <w:rFonts w:ascii="Yu Gothic" w:eastAsia="Yu Gothic" w:hAnsi="Yu Gothic"/>
                <w:color w:val="1A2422"/>
                <w:sz w:val="18"/>
                <w:szCs w:val="18"/>
              </w:rPr>
              <w:t xml:space="preserve">□ 現状のまま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Excel「下水道現況予測」98〜107行・本文p.34の説明</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C-3（投資配分）を見直した際に繰入金が追随せず、収支計画が実態とずれる。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①「下水道現況予測」ほか下水道4シートと「簡水現況予測」の年度見出しを、本体25・26行から複写して令和７年度／2025始まりに統一した（令和17年度の重複も解消）。②「下水道現況予測」102行の基準内繰入金を本体23行への参照に変更し、投資計画を見直した際に自動で追随するようにした（変更前後で数値は同一）。③令和７年度の据置額88,514千円の内訳と逓減の考え方を、シート108行と本文p.29に明記した。</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C-8</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仮反映済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経費回収率の定義が協議会資料と異なる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じ令和13年度で、経営戦略は51.03％、協議会資料は71.86％としている。経営戦略は総務省定義（使用料収入÷汚水処理費＝資本費込み119,166千円）、協議会資料は「控除後汚水処理費」（維持管理費93,025千円−不明水処理費8,406千円＝84,619千円、資本費0）を分母としている。なお経常収支比率は両者とも99.22％、使用料収入も60,808千円で完全に一致しており、ベースラインのモデル自体は整合し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経営戦略に記載する経費回収率をどちらの定義で統一するか。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総務省定義（資本費込み）で統一</w:t>
            </w:r>
            <w:r>
              <w:br/>
              <w:t xml:space="preserve"/>
            </w:r>
            <w:r>
              <w:rPr>
                <w:rFonts w:ascii="Yu Gothic" w:eastAsia="Yu Gothic" w:hAnsi="Yu Gothic"/>
                <w:color w:val="1A2422"/>
                <w:sz w:val="18"/>
                <w:szCs w:val="18"/>
              </w:rPr>
              <w:t xml:space="preserve">□ 協議会資料の定義に合わせる</w:t>
            </w:r>
            <w:r>
              <w:br/>
              <w:t xml:space="preserve"/>
            </w:r>
            <w:r>
              <w:rPr>
                <w:rFonts w:ascii="Yu Gothic" w:eastAsia="Yu Gothic" w:hAnsi="Yu Gothic"/>
                <w:color w:val="1A2422"/>
                <w:sz w:val="18"/>
                <w:szCs w:val="18"/>
              </w:rPr>
              <w:t xml:space="preserve">□ 両論を併記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本文p.18・p.32・ロードマップ／協議会資料</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同一年度の同一指標が2つの公表物で20ポイント以上食い違う。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仮対応】経営戦略・経営比較分析表は総務省定義（使用料収入÷汚水処理費。資本費を含む）で統一する必要があるため、本文の数値は総務省定義のままとし、p.18に「協議会資料は分母を維持管理費−不明水処理費（資本費０）としているため同一年度でも数値が異なる」旨の注記を追加した。協議会向けの説明資料は従来どおりの定義で差し支えないが、議会・住民説明で２つの数値が混在しないよう、呼称の整理をご確認いただきたい。令和13年度：総務省定義 改定前51.03％→改定後61.70％／協議会定義 改定前71.86％→改定後86.89％。</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C-9</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改定の構造が協議会の方向性と根本的に異なる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協議会は「水質使用料（高濃度汚水を排出する工場へ1㎥あたり約100円を新設・約12,000千円）」と「一般改定（基本＋100円/月・超過＋10円/㎥・約4,490千円）」の2本立てで、令和13年度の不足額12,735千円を充足する方向。一般家庭20㎥の負担は3,600円→3,800円（＋5.6％）にとどまる。一方、改定案のシミュレーションは使用料単価に一律の改定率（10/15/20/30％）を乗じる構造で、水質使用料という区分がなく、工場排水にも一般家庭にも同率がかかる。一律15％なら20㎥世帯は4,140円（＋540円）となり、協議会案（＋200円）とは負担の姿が全く違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シミュレーションを協議会案（水質使用料＋基本・超過の改定）の構造に作り替えてよいか。Excelの工場排水117,600㎥は協議会の「対象工場の高濃度汚水量 約120,000㎥」とほぼ一致するため、新たなデータなしで組み替えが可能。</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協議会案の構造に作り替える</w:t>
            </w:r>
            <w:r>
              <w:br/>
              <w:t xml:space="preserve"/>
            </w:r>
            <w:r>
              <w:rPr>
                <w:rFonts w:ascii="Yu Gothic" w:eastAsia="Yu Gothic" w:hAnsi="Yu Gothic"/>
                <w:color w:val="1A2422"/>
                <w:sz w:val="18"/>
                <w:szCs w:val="18"/>
              </w:rPr>
              <w:t xml:space="preserve">□ 現行の一律％改定を維持</w:t>
            </w:r>
            <w:r>
              <w:br/>
              <w:t xml:space="preserve"/>
            </w:r>
            <w:r>
              <w:rPr>
                <w:rFonts w:ascii="Yu Gothic" w:eastAsia="Yu Gothic" w:hAnsi="Yu Gothic"/>
                <w:color w:val="1A2422"/>
                <w:sz w:val="18"/>
                <w:szCs w:val="18"/>
              </w:rPr>
              <w:t xml:space="preserve">□ 両方を併記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Excel「予測」「予測(2)P1〜P4」「下水道現況予測」各シート・本文p.27〜32・ロードマップ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経営戦略のシミュレーションと協議会で説明している改定案が別物のまま公表される。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【対応済】「予測 (2)P2-15% (2)」を「予測 (2)協議会案」、「下水道現況予測 P2-15% (2)」を「下水道現況予測 協議会案」に改称し、令和９年度以降の使用料収入を①一般改定（基本＋100円/月・超過＋10円/㎥）と②水質使用料（工場排水70円/㎥）の２本立てで算定する構造に組み替えた。令和13年度の増収は12,721千円（一般改定4,489千円＋水質使用料8,232千円）で、協議会資料の12,735千円（4,490＋8,245）と誤差14千円（0.02％）で一致する。全体改定率120.9％・経常収支比率105.01％も協議会資料（120.9％・105.02％）と一致。本文p.27〜31の記述と図表3点（改定パターン一覧・検証表・収支計画表）も差し替えた。一律10／20／30％は参考ケースとして残し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C-10</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資本的収支分の繰入金が全額「基準外」になっている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現況予測」104〜106行で、資本的収支分の他会計繰入金（令和7年度50,013千円）は全額が106行「うち基準外繰入金」に計上され、105行「うち基準内繰入金」は空欄のままである。繰出基準では、分流式下水道等に要する経費や雨水処理に要する経費に対する建設改良費への繰入は基準内に区分されるのが通例であり、全額を基準外とすると基準外繰入金の規模が実態より大きく見え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資本的収支分の繰入金について、繰出基準に基づく基準内・基準外の区分をご教示いただきたい。決算統計（地方公営企業決算状況調査）の区分と突き合わせる必要がある。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決算統計の区分どおりに基準内・基準外を分ける</w:t>
            </w:r>
            <w:r>
              <w:br/>
              <w:t xml:space="preserve"/>
            </w:r>
            <w:r>
              <w:rPr>
                <w:rFonts w:ascii="Yu Gothic" w:eastAsia="Yu Gothic" w:hAnsi="Yu Gothic"/>
                <w:color w:val="1A2422"/>
                <w:sz w:val="18"/>
                <w:szCs w:val="18"/>
              </w:rPr>
              <w:t xml:space="preserve">□ 全額基準外のままとする</w:t>
            </w:r>
            <w:r>
              <w:br/>
              <w:t xml:space="preserve"/>
            </w:r>
            <w:r>
              <w:rPr>
                <w:rFonts w:ascii="Yu Gothic" w:eastAsia="Yu Gothic" w:hAnsi="Yu Gothic"/>
                <w:color w:val="1A2422"/>
                <w:sz w:val="18"/>
                <w:szCs w:val="18"/>
              </w:rPr>
              <w:t xml:space="preserve">□ 区分を調査のうえ後日決定</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Excel「下水道現況予測」104〜106行・本文p.29・経営比較分析表の「他会計繰入金対経常収益比率」</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基準外繰入金が過大に見え、一般会計の負担軽減余地の評価を誤るおそれがある。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C-7の調査中に判明。収益的収支分（101〜103行）は基準内・基準外が分かれているため、資本的収支分だけ区分されていない状態になっている。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E-10</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簡易水道の目標❷「料金回収率の上昇」が現状予測では未達</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-9の是正により、現行の料金水準を継続した場合の料金回収率は令和7年度65.5％から令和16年度60.5％へ低下し、目標の基準である令和5年度実績67.31％を全期間にわたって下回る。給水原価が172.22円／㎥から186.38円／㎥へ上昇する一方、供給単価は112.78円／㎥で横ばいとなるためである。本文は「計画期間中の料金回収率は上昇」「目標❷…達成」としていたが、これは調整額を織り込んだ算式によるものであり、根拠を欠く。なお目標❶（経常収支比率100％以上）は110.2％→105.3％で達成す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目標❷の達成に向けて水道料金の改定を行うか。行う場合の時期と改定率をどう設定するか。（参考：令和16年度に令和5年度基準67.31％へ戻すには供給単価を112.78円→125.45円＝約11.2％の引上げ〈料金収入で年約9,400千円〉、100％とするには約65％の引上げが必要）</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下水道使用料の改定（令和9年度適用）にあわせて水道料金も改定する</w:t>
            </w:r>
            <w:r>
              <w:br/>
              <w:t xml:space="preserve"/>
            </w:r>
            <w:r>
              <w:rPr>
                <w:rFonts w:ascii="Yu Gothic" w:eastAsia="Yu Gothic" w:hAnsi="Yu Gothic"/>
                <w:color w:val="1A2422"/>
                <w:sz w:val="18"/>
                <w:szCs w:val="18"/>
              </w:rPr>
              <w:t xml:space="preserve">□ 令和8年度に改定の必要性を検証したうえで判断する</w:t>
            </w:r>
            <w:r>
              <w:br/>
              <w:t xml:space="preserve"/>
            </w:r>
            <w:r>
              <w:rPr>
                <w:rFonts w:ascii="Yu Gothic" w:eastAsia="Yu Gothic" w:hAnsi="Yu Gothic"/>
                <w:color w:val="1A2422"/>
                <w:sz w:val="18"/>
                <w:szCs w:val="18"/>
              </w:rPr>
              <w:t xml:space="preserve">□ 料金改定は行わず、費用の縮減で対応する</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簡易水道本文の目標❷・投資財政計画／Excel「簡水現況予測」／料金改定シミュレーションの要否</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目標未達のまま改定の検討を示さないと、経営戦略として成立しない。一方で改定を織り込む場合は下水道と同様に料金改定シミュレーションの作成が必要になる。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は「未達成」に改め、「水道料金の改定の必要性について検討する必要があります」と記載したうえで、見直しの項（次回以降の見直し）に「令和8年度に改定の必要性を検証し、下水道使用料の改定（令和9年度適用）にあわせて検討する」と追記した。改定率を決める段階ではないため、料金改定シミュレーションは作成していない。</w:t>
            </w:r>
          </w:p>
        </w:tc>
      </w:tr>
    </w:tbl>
    <w:p>
      <w:pPr>
        <w:spacing w:after="160"/>
      </w:pPr>
    </w:p>
    <w:p>
      <w:pPr>
        <w:spacing w:after="120" w:before="280"/>
      </w:pPr>
      <w:r>
        <w:rPr>
          <w:rFonts w:ascii="Yu Gothic" w:eastAsia="Yu Gothic" w:hAnsi="Yu Gothic"/>
          <w:b/>
          <w:bCs/>
          <w:color w:val="0E5E62"/>
          <w:sz w:val="22"/>
          <w:szCs w:val="22"/>
        </w:rPr>
        <w:t xml:space="preserve">D．データ整理の判断　（8件）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D-1</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「予測」シートの自治体設定の整理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自治体設定がA3:D3に「コード2441・青森県三戸町」のまま残っている。総人口等（12〜14行）は中札内村の値が直接入力されており推計式とは切れているが、設定行が残っていると出典説明と矛盾する。B-2の決定に連動す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どう整理するか。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設定行を削除する</w:t>
            </w:r>
            <w:r>
              <w:br/>
              <w:t xml:space="preserve"/>
            </w:r>
            <w:r>
              <w:rPr>
                <w:rFonts w:ascii="Yu Gothic" w:eastAsia="Yu Gothic" w:hAnsi="Yu Gothic"/>
                <w:color w:val="1A2422"/>
                <w:sz w:val="18"/>
                <w:szCs w:val="18"/>
              </w:rPr>
              <w:t xml:space="preserve">□ 中札内村の値に置換する</w:t>
            </w:r>
            <w:r>
              <w:br/>
              <w:t xml:space="preserve"/>
            </w:r>
            <w:r>
              <w:rPr>
                <w:rFonts w:ascii="Yu Gothic" w:eastAsia="Yu Gothic" w:hAnsi="Yu Gothic"/>
                <w:color w:val="1A2422"/>
                <w:sz w:val="18"/>
                <w:szCs w:val="18"/>
              </w:rPr>
              <w:t xml:space="preserve">□ 現状のまま残す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Excel「予測」シート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他団体名が残ったまま納品される。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D-2</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「下水過去」シートの扱い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三戸町の実績値（行政区域内人口11,023→8,699人、使用料収入16,335→23,660千円等）。他シートからの参照はゼロであり、財政計算への波及はない。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どう整理するか。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中札内村の実績に置換する</w:t>
            </w:r>
            <w:r>
              <w:br/>
              <w:t xml:space="preserve"/>
            </w:r>
            <w:r>
              <w:rPr>
                <w:rFonts w:ascii="Yu Gothic" w:eastAsia="Yu Gothic" w:hAnsi="Yu Gothic"/>
                <w:color w:val="1A2422"/>
                <w:sz w:val="18"/>
                <w:szCs w:val="18"/>
              </w:rPr>
              <w:t xml:space="preserve">□ シートを削除する</w:t>
            </w:r>
            <w:r>
              <w:br/>
              <w:t xml:space="preserve"/>
            </w:r>
            <w:r>
              <w:rPr>
                <w:rFonts w:ascii="Yu Gothic" w:eastAsia="Yu Gothic" w:hAnsi="Yu Gothic"/>
                <w:color w:val="1A2422"/>
                <w:sz w:val="18"/>
                <w:szCs w:val="18"/>
              </w:rPr>
              <w:t xml:space="preserve">□ 現状のまま残す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Excel「下水過去」シート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他団体データが残ったまま納品される。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D-3</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「下水道現況予測」の体裁整理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1行目が「3事業合算」（本村は特定環境保全公共下水道の1事業のみ）、13〜14行の普及率・水洗化率が#DIV/0!、外部リンクが小松市・東員町のブックを指したまま約960箇所ずつ参照している。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整理の要否と範囲。</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すべて整理する</w:t>
            </w:r>
            <w:r>
              <w:br/>
              <w:t xml:space="preserve"/>
            </w:r>
            <w:r>
              <w:rPr>
                <w:rFonts w:ascii="Yu Gothic" w:eastAsia="Yu Gothic" w:hAnsi="Yu Gothic"/>
                <w:color w:val="1A2422"/>
                <w:sz w:val="18"/>
                <w:szCs w:val="18"/>
              </w:rPr>
              <w:t xml:space="preserve">□ 表示に出る部分のみ整理</w:t>
            </w:r>
            <w:r>
              <w:br/>
              <w:t xml:space="preserve"/>
            </w:r>
            <w:r>
              <w:rPr>
                <w:rFonts w:ascii="Yu Gothic" w:eastAsia="Yu Gothic" w:hAnsi="Yu Gothic"/>
                <w:color w:val="1A2422"/>
                <w:sz w:val="18"/>
                <w:szCs w:val="18"/>
              </w:rPr>
              <w:t xml:space="preserve">□ 現状のまま残す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Excel「下水道現況予測」シート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エラー表示と他団体への外部リンクが残る。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再計算後の図表貼り直しの範囲</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本文の図表はすべてExcelから貼り付けた画像（EMF 27点）であり、リンクされた表ではない。令和7年度の建設改良費が＋65,676千円となったため、減価償却費・支払利息・企業債残高が令和7年度以降で動く。</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貼り直しの対象範囲（p.21〜32の全図表か、数値が動いたものに限るか）と実施時期。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数値が動いた図表のみ差し替え</w:t>
            </w:r>
            <w:r>
              <w:br/>
              <w:t xml:space="preserve"/>
            </w:r>
            <w:r>
              <w:rPr>
                <w:rFonts w:ascii="Yu Gothic" w:eastAsia="Yu Gothic" w:hAnsi="Yu Gothic"/>
                <w:color w:val="1A2422"/>
                <w:sz w:val="18"/>
                <w:szCs w:val="18"/>
              </w:rPr>
              <w:t xml:space="preserve">□ p.21〜32の全図表を差し替え</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本文p.21〜32の各図表</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本文の図表と最新の試算値が食い違ったまま残る。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E-7</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指標名の誤記「汚染処理費」「汚染処理原価」</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現況予測」112行・115行ほか各シート（計6箇所×2項目）の指標名が「汚染処理費（千円）」「汚染処理原価（円）」となっている。総務省の経営比較分析表における正しい名称は「汚水処理費」「汚水処理原価」。</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「汚水処理費」「汚水処理原価」への訂正でよいか。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訂正する</w:t>
            </w:r>
            <w:r>
              <w:br/>
              <w:t xml:space="preserve"/>
            </w:r>
            <w:r>
              <w:rPr>
                <w:rFonts w:ascii="Yu Gothic" w:eastAsia="Yu Gothic" w:hAnsi="Yu Gothic"/>
                <w:color w:val="1A2422"/>
                <w:sz w:val="18"/>
                <w:szCs w:val="18"/>
              </w:rPr>
              <w:t xml:space="preserve">□ 現状のまま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 各「現況予測」シートの112・115行（共有文字列）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公表資料で総務省の定義名称と異なる表記になる。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【対応済】共有文字列を書き換えたため、参照している全シートに一括で反映されている。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E-8</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収支計画表の貼込幅が本文幅を超えていた（下水道4点・簡易水道2点）</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収支計画の表は、下水道本文で4点（現状予測の収益的収支9.51in・同資本的収支8.27in、採用案の収益的収支9.56in・同資本的収支8.27in）、簡易水道本文で2点（収益的収支9.28in・資本的収支8.30in）が貼り込まれているが、いずれのページも縦置き（本文幅6.54インチ）のため右側が用紙からはみ出していた。見出しのテキストボックスも幅9.88インチ・左オフセット−4.64インチで配置されており、横置きを前提としたレイアウトが縦置きのページに残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本文幅に収まるよう作り直した表（6点）への差し替えでよいか。見出しのテキストボックスも幅6.54インチ・左0に寄せている。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差し替えのとおりでよい</w:t>
            </w:r>
            <w:r>
              <w:br/>
              <w:t xml:space="preserve"/>
            </w:r>
            <w:r>
              <w:rPr>
                <w:rFonts w:ascii="Yu Gothic" w:eastAsia="Yu Gothic" w:hAnsi="Yu Gothic"/>
                <w:color w:val="1A2422"/>
                <w:sz w:val="18"/>
                <w:szCs w:val="18"/>
              </w:rPr>
              <w:t xml:space="preserve">□ 横置きページにして元の幅で載せる</w:t>
            </w:r>
            <w:r>
              <w:br/>
              <w:t xml:space="preserve"/>
            </w:r>
            <w:r>
              <w:rPr>
                <w:rFonts w:ascii="Yu Gothic" w:eastAsia="Yu Gothic" w:hAnsi="Yu Gothic"/>
                <w:color w:val="1A2422"/>
                <w:sz w:val="18"/>
                <w:szCs w:val="18"/>
              </w:rPr>
              <w:t xml:space="preserve">□ Excelから貼り直す（村にて実施）</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本文p.31の図</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印刷・PDF化したときに表の右側（令和13〜16年度）が欠落する。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6点とも更新後のExcelの該当ページから作り直した（幅6.54インチ）。下水道の採用案は「収益的収支」と「資本的収支・他会計繰入金」の2枚組であり、10月4日版では収益的収支の位置に全ページを1枚にまとめた表を貼ってしまっていたため、本版で2枚組に戻している。Excelの書式のまま貼り直したい場合は、各シートの該当ページをコピーして差し替えていただきた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E-9</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仮反映済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簡易水道の給水原価・料金回収率の算式に誤りがあった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水現況予測」には給水原価の計算が2箇所あり、いずれも総務省定義と異なっていた。①16行の給水費が「経常費用−長期前受金戻入−基準内繰入金−営業収益その他」となっており、収益である基準内繰入金1,429千円と営業収益その他53,780千円を費用から控除していた。この結果、令和7年度の給水原価は97.75円／㎥、料金回収率は115.4％となり、令和5年度の実績（給水原価167.56円／㎥・料金回収率67.31％）から大きく外れていた。②64行（表示名「供給原価」。実際は料金回収率の分母）は「経常費用−営業収益その他÷2−調整額」となっており、調整額として令和8年度△1,000千円、令和9〜10年度△5,000千円、令和11年度△6,000千円、令和12〜16年度△8,000千円が数式に直接書き込まれていた。さらに63行は「給水原価」と表示されているが中身は供給単価（料金収入÷有収水量）であり、63行と64行の名称が入れ替わってい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給水原価を総務省定義（経常費用−長期前受金戻入。本事業は受託工事費・材料及び不用品売却原価の計上がないため）に統一してよいか。年度別の調整額に別の根拠があればご教示いただきたい。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総務省定義に統一する（修正のとおり）</w:t>
            </w:r>
            <w:r>
              <w:br/>
              <w:t xml:space="preserve"/>
            </w:r>
            <w:r>
              <w:rPr>
                <w:rFonts w:ascii="Yu Gothic" w:eastAsia="Yu Gothic" w:hAnsi="Yu Gothic"/>
                <w:color w:val="1A2422"/>
                <w:sz w:val="18"/>
                <w:szCs w:val="18"/>
              </w:rPr>
              <w:t xml:space="preserve">□ 調整額には根拠があるため現状のまま</w:t>
            </w:r>
            <w:r>
              <w:br/>
              <w:t xml:space="preserve"/>
            </w:r>
            <w:r>
              <w:rPr>
                <w:rFonts w:ascii="Yu Gothic" w:eastAsia="Yu Gothic" w:hAnsi="Yu Gothic"/>
                <w:color w:val="1A2422"/>
                <w:sz w:val="18"/>
                <w:szCs w:val="18"/>
              </w:rPr>
              <w:t xml:space="preserve">□ 別の算式による</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Excel「簡水現況予測」16・18・20・62〜64・113〜116行／簡易水道本文の目標❷の評価（E-10）</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給水原価・料金回収率が経営比較分析表と別定義になり、目標達成の判定そのものが変わる。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【仮対応】総務省定義へ統一した。令和7年度 給水原価172.22円／㎥・料金回収率65.5％となり、令和5年度実績（167.56円・67.31％）と連続する水準になる。修正後は16行系（18・20行）と62〜64行が同一の値となり、シート内の矛盾も解消される。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E-11</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簡易水道の指標名・事業名・計画期間の表記</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①「簡水現況予測」の指標名が下水道の用語（汚水処理費・使用料収入・経費回収率・汚水処理原価）のままだった。②各「現況予測」シートの1行目が「3事業合算」、両本文の収支計画表の見出しが「（全事業合算）」となっているが、下水道は特定環境保全公共下水道事業のみ（本文p.8）、簡易水道は簡易水道事業のみである。③簡易水道本文の3箇所で計画期間を「令和17（2035）年度まで」としていた（正しくは令和7〜令和16年度）。④収益的支出に「(3)流域下水道負担金」が残っており、減価償却費と項目番号(3)が重複していた。⑤下水道本文の収支計画表の見出しが「【【投資・財政計画-資本的収支…」と括弧が重複してい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いずれも表記の是正でよいか。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修正のとおりでよい</w:t>
            </w:r>
            <w:r>
              <w:br/>
              <w:t xml:space="preserve"/>
            </w:r>
            <w:r>
              <w:rPr>
                <w:rFonts w:ascii="Yu Gothic" w:eastAsia="Yu Gothic" w:hAnsi="Yu Gothic"/>
                <w:color w:val="1A2422"/>
                <w:sz w:val="18"/>
                <w:szCs w:val="18"/>
              </w:rPr>
              <w:t xml:space="preserve">□ 一部は現状のまま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Excel「簡水現況予測」「下水道現況予測」ほか／両本文の見出し・計画期間の記載</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公表資料で事業区分と指標名が実態と異なる表記になる。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①水道事業の用語（給水費・料金収入・料金回収率・給水原価）へ。②事業名を「簡易水道事業」「下水道事業」へ（Excel6シート・本文9箇所）。③令和16（2034）年度へ。④該当なしのため削除。⑤括弧の重複を解消。</w:t>
            </w:r>
          </w:p>
        </w:tc>
      </w:tr>
    </w:tbl>
    <w:p>
      <w:pPr>
        <w:spacing w:after="160"/>
      </w:pPr>
    </w:p>
    <w:p>
      <w:pPr>
        <w:spacing w:after="120" w:before="280"/>
      </w:pPr>
      <w:r>
        <w:rPr>
          <w:rFonts w:ascii="Yu Gothic" w:eastAsia="Yu Gothic" w:hAnsi="Yu Gothic"/>
          <w:b/>
          <w:bCs/>
          <w:color w:val="0E5E62"/>
          <w:sz w:val="22"/>
          <w:szCs w:val="22"/>
        </w:rPr>
        <w:t xml:space="preserve">E．簡易水道側の確認事項　（6件）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E-1</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各給水区域の施設状況（表）のデータ</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p.17「■各給水区域の施設状況」が空欄のまま。本文には杉沢・蛇沼・大舌・貝守・袴田・横沢の6地区の管路延長と配水池設置年度が記載されているが、表に入れる施設諸元（水源種別・浄水方式・配水方式・施設能力・設置年度等）の一覧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6地区それぞれの施設諸元一覧をご提供いただきたい。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回答形式</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資料のご提供（自由記述）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本文p.17</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p.17の表が空欄のまま残り、本文を完成できない。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E-2</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横沢地区の管路延長</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簡易水道の本文p.17に「管路延長は杉沢で6,692ｍ、蛇沼で21,843ｍ、大舌で16,621ｍ、貝守で19,454ｍ、袴田で11,945ｍとなっており、横沢は不明です」とある。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横沢地区の管路延長。不明のままとする場合はその旨の表記方法。</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実数値をご提供</w:t>
            </w:r>
            <w:r>
              <w:br/>
              <w:t xml:space="preserve"/>
            </w:r>
            <w:r>
              <w:rPr>
                <w:rFonts w:ascii="Yu Gothic" w:eastAsia="Yu Gothic" w:hAnsi="Yu Gothic"/>
                <w:color w:val="1A2422"/>
                <w:sz w:val="18"/>
                <w:szCs w:val="18"/>
              </w:rPr>
              <w:t xml:space="preserve">□ 「不明」のまま記載</w:t>
            </w:r>
            <w:r>
              <w:br/>
              <w:t xml:space="preserve"/>
            </w:r>
            <w:r>
              <w:rPr>
                <w:rFonts w:ascii="Yu Gothic" w:eastAsia="Yu Gothic" w:hAnsi="Yu Gothic"/>
                <w:color w:val="1A2422"/>
                <w:sz w:val="18"/>
                <w:szCs w:val="18"/>
              </w:rPr>
              <w:t xml:space="preserve">□ 項目ごと削除</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本文p.17</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公表物に「不明」の記載が残る。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E-3</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簡易水道本文の「国（県）補助金」表記</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簡易水道の本文p.31付近に「●国（県）補助金」「国庫（県）補助対象事業」が残っている。下水道側では同じ箇所について朱書きで「県」→「道」のご指示をいただき修正済み。</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簡易水道側も同様に「道」へ修正してよいか。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下水道と同様に「道」へ修正</w:t>
            </w:r>
            <w:r>
              <w:br/>
              <w:t xml:space="preserve"/>
            </w:r>
            <w:r>
              <w:rPr>
                <w:rFonts w:ascii="Yu Gothic" w:eastAsia="Yu Gothic" w:hAnsi="Yu Gothic"/>
                <w:color w:val="1A2422"/>
                <w:sz w:val="18"/>
                <w:szCs w:val="18"/>
              </w:rPr>
              <w:t xml:space="preserve">□ 現行のまま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本文（資本的収入の説明）</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同一団体の2つの戦略で表記が食い違う。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ご指示により「●国（道）補助金」「国庫（道）補助対象事業」へ修正済み（10/2）。</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E-4</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資産活用の状況に下水道の例示が残存</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簡易水道の本文「資産活用の状況」の項目名が「（下水熱・下水汚泥・発電等）」となっており、下水道の様式がそのまま残っている。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簡易水道に即した例示（小水力発電等）へ改めてよいか。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簡易水道に即した例示へ改める</w:t>
            </w:r>
            <w:r>
              <w:br/>
              <w:t xml:space="preserve"/>
            </w:r>
            <w:r>
              <w:rPr>
                <w:rFonts w:ascii="Yu Gothic" w:eastAsia="Yu Gothic" w:hAnsi="Yu Gothic"/>
                <w:color w:val="1A2422"/>
                <w:sz w:val="18"/>
                <w:szCs w:val="18"/>
              </w:rPr>
              <w:t xml:space="preserve">□ 項目ごと削除</w:t>
            </w:r>
            <w:r>
              <w:br/>
              <w:t xml:space="preserve"/>
            </w:r>
            <w:r>
              <w:rPr>
                <w:rFonts w:ascii="Yu Gothic" w:eastAsia="Yu Gothic" w:hAnsi="Yu Gothic"/>
                <w:color w:val="1A2422"/>
                <w:sz w:val="18"/>
                <w:szCs w:val="18"/>
              </w:rPr>
              <w:t xml:space="preserve">□ 現行のまま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本文（資産活用の状況）</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下水道の用語が簡易水道の戦略に残る。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ご指示により「（小水力発電等）」へ修正済み（10/2）。総務省様式の水道事業版の例示にあわせた。</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E-5</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「サンプル」表記と項目番号の重複</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簡易水道の本文に「4．施設の状況　サンプル」「【参考】サンプル」の赤字表記が残っている。また「（５）民間活力の活用等」と「（５）資産活用の状況」で項目番号が重複している。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「サンプル」表記の削除時期と、項目番号の振り直し。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いずれも整理する</w:t>
            </w:r>
            <w:r>
              <w:br/>
              <w:t xml:space="preserve"/>
            </w:r>
            <w:r>
              <w:rPr>
                <w:rFonts w:ascii="Yu Gothic" w:eastAsia="Yu Gothic" w:hAnsi="Yu Gothic"/>
                <w:color w:val="1A2422"/>
                <w:sz w:val="18"/>
                <w:szCs w:val="18"/>
              </w:rPr>
              <w:t xml:space="preserve">□ 本文確定時にまとめて整理</w:t>
            </w:r>
            <w:r>
              <w:br/>
              <w:t xml:space="preserve"/>
            </w:r>
            <w:r>
              <w:rPr>
                <w:rFonts w:ascii="Yu Gothic" w:eastAsia="Yu Gothic" w:hAnsi="Yu Gothic"/>
                <w:color w:val="1A2422"/>
                <w:sz w:val="18"/>
                <w:szCs w:val="18"/>
              </w:rPr>
              <w:t xml:space="preserve">□ 現行のまま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仮表記と番号重複が残ったまま公表される。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E-6</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「簡水現況予測」の給水原価が #DIV/0! になっていた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「簡水現況予測」20行の給水原価は「16行÷19行×1000」で算定するが、分母の19行（有収水量）が空欄の8行を参照していたため全年度が #DIV/0! となっていた。同じ位置の下水道側（「下水道現況予測」19行）は「予測」シートを参照しており、簡易水道側だけ参照先が設定されていなかった。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給水原価の分母を「予測」シート36行（簡易水道の有収水量）とする修正でよいか。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修正のとおりでよい</w:t>
            </w:r>
            <w:r>
              <w:br/>
              <w:t xml:space="preserve"/>
            </w:r>
            <w:r>
              <w:rPr>
                <w:rFonts w:ascii="Yu Gothic" w:eastAsia="Yu Gothic" w:hAnsi="Yu Gothic"/>
                <w:color w:val="1A2422"/>
                <w:sz w:val="18"/>
                <w:szCs w:val="18"/>
              </w:rPr>
              <w:t xml:space="preserve">□ 別の有収水量を用いる</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Excel「簡水現況予測」19・20行</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成果品にエラー値がそのまま残り、給水原価を指標として示せない。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【対応済】19行P〜Y列を「＝予測!F36〜O36」に変更。あわせて115行の有収水量が外部ブック（[13]「P参考 R12繰入０円180％」）を参照し3,016,564㎥（正しくは741,320㎥）となっていたため同シート19行への参照に変更した。なお給水原価そのものの算式はE-9のとおり別途是正している。</w:t>
            </w:r>
          </w:p>
        </w:tc>
      </w:tr>
    </w:tbl>
    <w:p>
      <w:pPr>
        <w:spacing w:after="160"/>
      </w:pPr>
    </w:p>
    <w:p>
      <w:pPr>
        <w:pBdr>
          <w:bottom w:val="single" w:color="0E5E62" w:sz="12" w:space="4"/>
        </w:pBdr>
        <w:spacing w:after="160" w:before="380"/>
      </w:pPr>
      <w:r>
        <w:rPr>
          <w:rFonts w:ascii="Yu Gothic" w:eastAsia="Yu Gothic" w:hAnsi="Yu Gothic"/>
          <w:b/>
          <w:bCs/>
          <w:color w:val="0E5E62"/>
          <w:sz w:val="26"/>
          <w:szCs w:val="26"/>
        </w:rPr>
        <w:t xml:space="preserve">５　</w:t>
      </w:r>
      <w:r>
        <w:rPr>
          <w:rFonts w:ascii="Yu Gothic" w:eastAsia="Yu Gothic" w:hAnsi="Yu Gothic"/>
          <w:b/>
          <w:bCs/>
          <w:color w:val="1A2422"/>
          <w:sz w:val="26"/>
          <w:szCs w:val="26"/>
        </w:rPr>
        <w:t xml:space="preserve">未決のまま進めた場合の作業への波及</w:t>
      </w:r>
    </w:p>
    <w:p>
      <w:pPr>
        <w:spacing w:after="120" w:before="0" w:line="300"/>
      </w:pPr>
      <w:r>
        <w:rPr>
          <w:rFonts w:ascii="Yu Gothic" w:eastAsia="Yu Gothic" w:hAnsi="Yu Gothic"/>
          <w:color w:val="1A2422"/>
          <w:sz w:val="21"/>
          <w:szCs w:val="21"/>
        </w:rPr>
        <w:t xml:space="preserve">本文の図表はすべてExcelから貼り付けた画像であり、リンクされた表ではない。そのためExcelを修正するたびにWordへの貼り直しが発生する。C区分（経営方針）が未決のままExcelを再計算すると、確定後にもう一度すべての図表を貼り直すことになるため、C-1からC-3を先に決めていただきたい。</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2200"/>
        <w:gridCol w:w="7438"/>
      </w:tblGrid>
      <w:tr>
        <w:trPr>
          <w:tblHeader/>
        </w:trPr>
        <w:tc>
          <w:tcPr>
            <w:tcW w:type="dxa" w:w="22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未決の事項</w:t>
            </w:r>
          </w:p>
        </w:tc>
        <w:tc>
          <w:tcPr>
            <w:tcW w:type="dxa" w:w="7438"/>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止まる作業</w:t>
            </w:r>
          </w:p>
        </w:tc>
      </w:tr>
      <w:tr>
        <w:tc>
          <w:tcPr>
            <w:tcW w:type="dxa" w:w="22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C-1 使用料改定の時期と率</w:t>
            </w:r>
          </w:p>
        </w:tc>
        <w:tc>
          <w:tcPr>
            <w:tcW w:type="dxa" w:w="74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シミュレーション4パターンの採用案が決まらず、p.27〜32の本文と図表、ロードマップが着手できない。交付金の支給要件に関わるため後戻りのコストが大きい。</w:t>
            </w:r>
          </w:p>
        </w:tc>
      </w:tr>
      <w:tr>
        <w:tc>
          <w:tcPr>
            <w:tcW w:type="dxa" w:w="22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C-2 繰入金の前提</w:t>
            </w:r>
          </w:p>
        </w:tc>
        <w:tc>
          <w:tcPr>
            <w:tcW w:type="dxa" w:w="743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経常収支比率が変わるため、目標達成の可否判定（p.32）が確定しない。</w:t>
            </w:r>
          </w:p>
        </w:tc>
      </w:tr>
      <w:tr>
        <w:tc>
          <w:tcPr>
            <w:tcW w:type="dxa" w:w="22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C-3 令和8年度以降の投資配分</w:t>
            </w:r>
          </w:p>
        </w:tc>
        <w:tc>
          <w:tcPr>
            <w:tcW w:type="dxa" w:w="74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減価償却費・支払利息・企業債残高が動き、収支計画とシミュレーションの全数値が変わる。p.25・p.26の表も差し替えとなる。</w:t>
            </w:r>
          </w:p>
        </w:tc>
      </w:tr>
      <w:tr>
        <w:tc>
          <w:tcPr>
            <w:tcW w:type="dxa" w:w="22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B-2 将来人口の推計根拠</w:t>
            </w:r>
          </w:p>
        </w:tc>
        <w:tc>
          <w:tcPr>
            <w:tcW w:type="dxa" w:w="743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有収水量・使用料収入の予測の説明が成り立たず、p.31とp.23の図表が確定しない。</w:t>
            </w:r>
          </w:p>
        </w:tc>
      </w:tr>
      <w:tr>
        <w:tc>
          <w:tcPr>
            <w:tcW w:type="dxa" w:w="22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A-1 主要施設一覧</w:t>
            </w:r>
          </w:p>
        </w:tc>
        <w:tc>
          <w:tcPr>
            <w:tcW w:type="dxa" w:w="74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p.20が他団体の記載のまま残り、本文を完成できない。</w:t>
            </w:r>
          </w:p>
        </w:tc>
      </w:tr>
    </w:tbl>
    <w:p>
      <w:pPr>
        <w:pBdr>
          <w:top w:val="single" w:color="C8D2CE" w:sz="6" w:space="6"/>
        </w:pBdr>
        <w:spacing w:after="0" w:before="300"/>
      </w:pPr>
      <w:r>
        <w:rPr>
          <w:rFonts w:ascii="Yu Gothic" w:eastAsia="Yu Gothic" w:hAnsi="Yu Gothic"/>
          <w:color w:val="5E6B67"/>
          <w:sz w:val="17"/>
          <w:szCs w:val="17"/>
        </w:rPr>
        <w:t xml:space="preserve">回答は別添「中札内村下水道事業経営戦略_確認結果入力シート」にご記入ください。確認事項IDが対応しています。</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Yu Gothic" w:eastAsia="Yu Gothic" w:hAnsi="Yu Gothic"/>
        <w:color w:val="5E6B67"/>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Yu Gothic" w:eastAsia="Yu Gothic" w:hAnsi="Yu Gothic"/>
        <w:color w:val="5E6B67"/>
        <w:sz w:val="16"/>
        <w:szCs w:val="16"/>
      </w:rPr>
      <w:t xml:space="preserve">中札内村下水道事業経営戦略（案）・簡易水道事業経営戦略（案）　打合せ確認事項・影響度一覧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color w:val="1A2422"/>
        <w:sz w:val="21"/>
        <w:szCs w:val="21"/>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2026-10-01T07:08:04.838Z</dcterms:created>
  <dcterms:modified xsi:type="dcterms:W3CDTF">2026-10-01T07:08:04.838Z</dcterms:modified>
</cp:coreProperties>
</file>

<file path=docProps/custom.xml><?xml version="1.0" encoding="utf-8"?>
<Properties xmlns="http://schemas.openxmlformats.org/officeDocument/2006/custom-properties" xmlns:vt="http://schemas.openxmlformats.org/officeDocument/2006/docPropsVTypes"/>
</file>