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　【要確認】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　【要確認】</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編集注記：策定委員会の開催実績・委員名簿・パブリックコメントの実施結果は、計画確定時に資料編に掲載します。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本村の高齢者人口は、令和2年（2020年）の948人をピークとしてすでに減少局面に入っています。令和22年（2040年）には765人となり、ピーク時から19.3%減少する見込みです。</w:t>
      </w:r>
    </w:p>
    <w:p>
      <w:pPr>
        <w:spacing w:after="120" w:line="300"/>
      </w:pPr>
      <w:r>
        <w:rPr>
          <w:rFonts w:ascii="游明朝" w:cs="游明朝" w:eastAsia="游明朝" w:hAnsi="游明朝"/>
          <w:sz w:val="21"/>
          <w:szCs w:val="21"/>
        </w:rPr>
        <w:t xml:space="preserve">一方で、75歳以上の後期高齢者は令和12年（2030年）の551人までは増加します。令和7年の480人から5年間で71人（14.8%）の増加です。反対に65歳から74歳までの前期高齢者は、同期間に457人から360人へと97人（21.2%）減少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778"/>
        <w:gridCol w:w="1498"/>
        <w:gridCol w:w="1498"/>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高齢者計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出典：国立社会保障・人口問題研究所「日本の地域別将来推計人口」　単位：人</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介護保険の第1号被保険者数は住民基本台帳を基礎とするため、国勢調査を基礎とする将来推計人口とは差が生じます。本村では、住民基本台帳ベースの実績が国勢調査ベースの推計を6〜8%上回る状態が続いています。</w:t>
      </w:r>
    </w:p>
    <w:p>
      <w:pPr>
        <w:spacing w:after="120" w:line="300"/>
      </w:pPr>
      <w:r>
        <w:rPr>
          <w:rFonts w:ascii="游明朝" w:cs="游明朝" w:eastAsia="游明朝" w:hAnsi="游明朝"/>
          <w:sz w:val="21"/>
          <w:szCs w:val="21"/>
        </w:rPr>
        <w:t xml:space="preserve">第9期計画では将来推計人口をそのまま用いたため、第1号被保険者数を実績より63人（6.6%）少なく見込む結果となりました。本計画では、この乖離を補正したうえで推計します。補正の方法は第5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872"/>
        <w:gridCol w:w="149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第1号被保険者数はほぼ横ばいで推移しますが、後期高齢者の割合は51.4%から58.9%へと7.5ポイント上昇します。10人に6人が75歳以上となる見通しです。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給付費の推移を見ると、特別養護老人ホームが23.6%減少、介護医療院が41.2%減少した一方、短期入所生活介護は165%増加しています。村内に短期入所のサービスがないなかでのこの増加は、ご家族の介護負担を一時的に軽減する需要が村外で現れているもの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貯筋教室、シニア元気アップ教室、住民主体の通いの場であるいきいき百歳体操などを実施しています。第9期のアンケート調査では、介護予防のための通いの場に参加している方は11.2%（509人中57人）であり、地区による差が大きいことが確認されています。とりわけ大塩地区は参加率・参加意向がいずれも最も低い状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通いの場の箇所数・参加者数・参加率は、地域包括ケア「見える化」システムのデータが令和2年度で更新を終えており、村の実数の提供を受けたうえで記載します。上記の11.2%は第9期アンケート調査による数値で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保険者機能強化推進交付金等 指標群別得点（令和5年度）</w:t>
      </w:r>
    </w:p>
    <w:p>
      <w:pPr>
        <w:spacing w:after="200"/>
        <w:jc w:val="center"/>
      </w:pPr>
      <w:r>
        <w:rPr>
          <w:rFonts w:ascii="游ゴシック" w:cs="游ゴシック" w:eastAsia="游ゴシック" w:hAnsi="游ゴシック"/>
          <w:color w:val="595959"/>
          <w:sz w:val="15"/>
          <w:szCs w:val="15"/>
        </w:rPr>
        <w:t xml:space="preserve">出典：厚生労働省「保険者機能強化推進交付金・介護保険保険者努力支援交付金に係る評価指標」</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国は、保険者機能強化推進交付金および介護保険保険者努力支援交付金の評価指標により、市町村の取組を毎年度評価しています。本村の令和5年度の評価結果は次のとおりです。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体制の整備を評価する「取組・体制指標群」と、要介護度の変化を評価する「成果指標群」では一定の得点を得ている一方、実際の活動量を評価する「活動指標群」の得点が低くなっています。体制は整っているものの、そこから生まれる活動が十分でないことを示しています。</w:t>
      </w:r>
    </w:p>
    <w:p>
      <w:pPr>
        <w:spacing w:after="120" w:line="300"/>
      </w:pPr>
      <w:r>
        <w:rPr>
          <w:rFonts w:ascii="游明朝" w:cs="游明朝" w:eastAsia="游明朝" w:hAnsi="游明朝"/>
          <w:sz w:val="21"/>
          <w:szCs w:val="21"/>
        </w:rPr>
        <w:t xml:space="preserve">個別の評価項目では、令和3年度・令和4年度を通じて0点であった項目が21件あり、そのうち8件が「介護予防／日常生活支援」に集中しています。</w:t>
      </w:r>
    </w:p>
    <w:p>
      <w:pPr>
        <w:spacing w:after="100" w:line="300"/>
      </w:pPr>
      <w:r>
        <w:rPr>
          <w:rFonts w:ascii="游ゴシック" w:cs="游ゴシック" w:eastAsia="游ゴシック" w:hAnsi="游ゴシック"/>
          <w:b/>
          <w:bCs/>
          <w:color w:val="2E75B6"/>
          <w:sz w:val="21"/>
          <w:szCs w:val="21"/>
        </w:rPr>
        <w:t xml:space="preserve">成果指標（アウトカム）の状況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中重度の方については状態の改善が見られる一方、軽度の方については重度化が進んでいます。2-3で見た要支援1の急増と、2-6で見た介護予防の受け皿の不足が、この結果に現れているものと考えられます。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編集注記：評価指標の福島県平均・全国平均は、村から提供を受けたうえで比較を記載します。なお令和4年度と令和5年度では評価指標の体系が異なるため、両年度の得点は単純に比較できません。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約1,009人（推計）</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第9期計画は将来推計人口をそのまま用いたため、実績を6.6%下回る見込みとなりました。第1号被保険者数は保険料算定の基礎となるため、この乖離は保険料の水準にも影響しています。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おり、本計画ではこの点を第6章において改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においても、軽度の方の重度化が進んでいることが確認されています。</w:t>
      </w:r>
    </w:p>
    <w:p>
      <w:pPr>
        <w:spacing w:after="100" w:line="300"/>
      </w:pPr>
      <w:r>
        <w:rPr>
          <w:rFonts w:ascii="游ゴシック" w:cs="游ゴシック" w:eastAsia="游ゴシック" w:hAnsi="游ゴシック"/>
          <w:b/>
          <w:bCs/>
          <w:color w:val="2E75B6"/>
          <w:sz w:val="21"/>
          <w:szCs w:val="21"/>
        </w:rPr>
        <w:t xml:space="preserve">課題3　計画を評価し改善する仕組みが十分ではありません</w:t>
      </w:r>
    </w:p>
    <w:p>
      <w:pPr>
        <w:spacing w:after="120" w:line="300"/>
      </w:pPr>
      <w:r>
        <w:rPr>
          <w:rFonts w:ascii="游明朝" w:cs="游明朝" w:eastAsia="游明朝" w:hAnsi="游明朝"/>
          <w:sz w:val="21"/>
          <w:szCs w:val="21"/>
        </w:rPr>
        <w:t xml:space="preserve">計画値と実績値の乖離の分析、目標未達成時の改善、評価結果の共有のいずれもが、国の評価指標において0点となっています。第9期の推計の乖離も、検証の仕組みがあれば計画期間の途中で把握できたもので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総合事業における多様なサービスの創設を検討するとともに、通いの場を再構築し、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通いの場の再構築と参加率の向上／1-2 総合事業における多様なサービスの創設／1-3 一般介護予防事業の拡充／1-4 介護予防におけるデータ活用／1-5 地域リハビリテーション活動支援事業の推進／1-6 高齢者の保健事業と介護予防の一体的実施</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高齢者の移動に関する支援／2-2 社会参加の促進とインセンティブの検討／2-3 住まいの安定的な確保と生活困難者支援／2-4 日常生活の安全確保／2-5 地域支え合い活動の促進／2-6 冬期の生活支援（除雪）【新規】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居宅サービスの確保／3-2 地域密着型サービスの維持と定員の検討／3-3 村外施設サービスの利用支援／3-4 短期入所サービスの確保／3-5 介護給付の適正化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地域包括支援センターの機能強化／4-2 地域ケア会議の充実／4-3 在宅医療・介護連携の推進／4-4 認知症施策の推進／4-5 生活支援体制の整備／4-6 介護人材の確保と生産性向上／4-7 成年後見制度の利用促進</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計画の推進と進捗管理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成果目標・活動指標の設定と毎年度の進捗評価／5-2 計画値と実績値の乖離分析／5-3 評価結果の関係者間共有／5-4 保険者機能強化推進交付金の評価指標との連動</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要支援1の認定者が6年間で3倍になる一方、介護予防の受け皿は整っていません。国の評価指標において0点であった21項目のうち8項目がこの分野に集中しています。本計画の最重点分野として取り組みます。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通いの場の再構築と参加率の向上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住民主体の通いの場であるいきいき百歳体操などを実施しています。第9期の調査では参加率は11.2%で、地区による差が大きく、大塩地区が最も低い状況です。また通いの場の箇所数・参加者数は、国の調査における報告が令和2年度で途絶えており、現在の実態が把握できていません。まず実数を把握し、そのうえで参加率の目標を設定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通いの場の実施状況を悉皆で調査し、基準値を確定します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参加していない方へのアウトリーチを実施します</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週1回以上の通いの場への参加率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介護予防の取組に係る課題把握について、国の評価指標では0点となっています。地域包括ケア「見える化」システムや国保データベース（KDB）システムを活用した分析が行われていません。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データを活用した課題把握の実施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地域リハビリテーション活動支援事業の推進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地域リハビリテーションの推進に向けた具体的な取組について、国の評価指標では0点となっています。関係団体との連携によるリハビリテーション専門職の関与の仕組みが構築されていません。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介護予防と保健事業の一体的実施については、国の評価指標において20点を得ており、第9期の成果の一つです。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高齢者の移動に関する支援　【継続】</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では令和3年度5点から令和4年度15点へと改善し、公共交通担当部局との連携体制の構築、取組の実施、取組の見直しで得点しています。一方、移動に関する課題の把握は0点のまま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社会参加の促進とインセンティブの検討　【新規】</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高齢者の社会参加を促す個人へのインセンティブ付与について、国の評価指標では0点であり、ポイント事業も実施していません。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住まいの安定的な確保と生活困難者支援　【強化】</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では0点です。また管内の住宅型有料老人ホーム・サービス付き高齢者向け住宅の情報を計画策定に活用することについても0点とな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日常生活の安全確保　【継続】</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冬期の生活支援（除雪）　【新規】</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地域支え合い活動の促進　【継続】</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介護給付適正化の主要5事業のうち4事業を実施しており、国の評価指標において35点を得ています。一方、縦覧点検については0点となっています。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主要5事業のうち未実施の事業への着手を検討します</w:t>
      </w:r>
    </w:p>
    <w:p>
      <w:pPr>
        <w:pStyle w:val="ListParagraph"/>
        <w:numPr>
          <w:ilvl w:val="0"/>
          <w:numId w:val="2"/>
        </w:numPr>
        <w:spacing w:after="60" w:line="300"/>
      </w:pPr>
      <w:r>
        <w:rPr>
          <w:rFonts w:ascii="游明朝" w:cs="游明朝" w:eastAsia="游明朝" w:hAnsi="游明朝"/>
          <w:sz w:val="21"/>
          <w:szCs w:val="21"/>
        </w:rPr>
        <w:t xml:space="preserve">縦覧点検の実施帳票数を増やします</w:t>
      </w:r>
    </w:p>
    <w:p>
      <w:pPr>
        <w:pStyle w:val="ListParagraph"/>
        <w:numPr>
          <w:ilvl w:val="0"/>
          <w:numId w:val="2"/>
        </w:numPr>
        <w:spacing w:after="60" w:line="300"/>
      </w:pPr>
      <w:r>
        <w:rPr>
          <w:rFonts w:ascii="游明朝" w:cs="游明朝" w:eastAsia="游明朝" w:hAnsi="游明朝"/>
          <w:sz w:val="21"/>
          <w:szCs w:val="21"/>
        </w:rPr>
        <w:t xml:space="preserve">ケアプラン点検・医療情報との突合の実施を検討します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主要5事業の実施数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3帳票以上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在宅医療・介護連携と認知症施策は、国の評価指標において高い評価を得ており、第9期の成果です。これらを維持しつつ、活動量の面で課題のある分野を強化します。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初期集中支援チームの活動で40点、早期診断・早期対応の体制構築で20点を得ています。一方、認知症サポーターは約237人（人口比9.8%）が養成されているものの、ステップアップ講座の修了者は0人であり、サポーターが活動に結びついていません。また第9期の調査では、認知症の相談窓口を知っている方は31.2%と前回の36.7%から低下しており、とくに裏磐梯地区は20.6%と他地区より低い状況です。認知症高齢者の日常生活自立度Ⅱ以上の方は3年間で132人から161人へと22%増加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w:t>
      </w:r>
    </w:p>
    <w:p>
      <w:pPr>
        <w:pStyle w:val="ListParagraph"/>
        <w:numPr>
          <w:ilvl w:val="0"/>
          <w:numId w:val="2"/>
        </w:numPr>
        <w:spacing w:after="60" w:line="300"/>
      </w:pPr>
      <w:r>
        <w:rPr>
          <w:rFonts w:ascii="游明朝" w:cs="游明朝" w:eastAsia="游明朝" w:hAnsi="游明朝"/>
          <w:sz w:val="21"/>
          <w:szCs w:val="21"/>
        </w:rPr>
        <w:t xml:space="preserve">認知症サポーターを活用した地域支援体制を構築し、社会参加を支援します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チームオレンジ・見守り体制の整備を検討します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生活支援コーディネーターが配置され、地域ケア会議への参加により20点を得ています。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成年後見制度の利用促進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会津11自治体が連携する中核機関「会津権利擁護・成年後見センター」が令和4年度に設置されています。第9期の調査では、成年後見制度について「わからない」と回答した方が30.3%あり、判断能力が低下した場合に備えて家族と話し合ったことがある方は27.7%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権利擁護支援のネットワークづくりを進めます</w:t>
      </w:r>
    </w:p>
    <w:p>
      <w:pPr>
        <w:pStyle w:val="ListParagraph"/>
        <w:numPr>
          <w:ilvl w:val="0"/>
          <w:numId w:val="2"/>
        </w:numPr>
        <w:spacing w:after="60" w:line="300"/>
      </w:pPr>
      <w:r>
        <w:rPr>
          <w:rFonts w:ascii="游明朝" w:cs="游明朝" w:eastAsia="游明朝" w:hAnsi="游明朝"/>
          <w:sz w:val="21"/>
          <w:szCs w:val="21"/>
        </w:rPr>
        <w:t xml:space="preserve">制度の広報・周知と相談対応を行います</w:t>
      </w:r>
    </w:p>
    <w:p>
      <w:pPr>
        <w:pStyle w:val="ListParagraph"/>
        <w:numPr>
          <w:ilvl w:val="0"/>
          <w:numId w:val="2"/>
        </w:numPr>
        <w:spacing w:after="60" w:line="300"/>
      </w:pPr>
      <w:r>
        <w:rPr>
          <w:rFonts w:ascii="游明朝" w:cs="游明朝" w:eastAsia="游明朝" w:hAnsi="游明朝"/>
          <w:sz w:val="21"/>
          <w:szCs w:val="21"/>
        </w:rPr>
        <w:t xml:space="preserve">市民後見人の養成について検討します</w:t>
      </w:r>
    </w:p>
    <w:p>
      <w:pPr>
        <w:pStyle w:val="ListParagraph"/>
        <w:numPr>
          <w:ilvl w:val="0"/>
          <w:numId w:val="2"/>
        </w:numPr>
        <w:spacing w:after="60" w:line="300"/>
      </w:pPr>
      <w:r>
        <w:rPr>
          <w:rFonts w:ascii="游明朝" w:cs="游明朝" w:eastAsia="游明朝" w:hAnsi="游明朝"/>
          <w:sz w:val="21"/>
          <w:szCs w:val="21"/>
        </w:rPr>
        <w:t xml:space="preserve">利用支援事業を実施します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介護保険事業の見込みと保険料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将来人口</w:t>
      </w:r>
    </w:p>
    <w:p>
      <w:pPr>
        <w:spacing w:after="120" w:line="300"/>
      </w:pPr>
      <w:r>
        <w:rPr>
          <w:rFonts w:ascii="游明朝" w:cs="游明朝" w:eastAsia="游明朝" w:hAnsi="游明朝"/>
          <w:sz w:val="21"/>
          <w:szCs w:val="21"/>
        </w:rPr>
        <w:t xml:space="preserve">国立社会保障・人口問題研究所「日本の地域別将来推計人口」を用います。5年刻みの推計値であるため、各年度の値は線形補間により算出します。</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将来推計人口は国勢調査を基礎とするのに対し、介護保険の第1号被保険者数は住民基本台帳を基礎とします。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第1号被保険者数を実績より6.6%少なく見込む結果となりました。本計画では、直近実績と将来推計人口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年齢階級別の認定率を用いて算定します。第9期計画では合計での検証のみであったため、要支援1が36%過少、要介護4が39%過大という乖離が生じても把握できませんでした。本計画では要介護度別に算定し、毎年度検証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編集注記：国の基本指針および介護保険事業計画作成支援ツール（推計ワークシート）の提供を受けたうえで、正式な推計を行います。以下5-2から5-7は、それらに基づき算定します。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2059"/>
        <w:gridCol w:w="2434"/>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参考として、年齢階級別認定率を令和7年度末の水準で固定した場合の試算を示します。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認定率を据え置いた場合でも、後期高齢者の割合が高まることにより、認定者数は214人から230人へと16人（7.5%）増加します。第1号被保険者数は1,015人から990人へと減少するにもかかわらず、認定者数は増加する見通し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は参考試算です。本村の認定率は令和2年3月末から令和8年3月末までの6年間で年平均0.62ポイント上昇しており、この傾向が続く場合は認定者数はさらに増加します。正式な推計は要介護度別に、国の推計ワークシートを用い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推計ワークシートの提供を受けたうえで、サービス種類ごとの見込量（利用者数・回数・日数）を算定します。算定にあたっては、村内にサービスがなく村外利用が中心であるという本村の特性を踏ま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地域支援事業費の見込み</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編集注記：算定にあたり、第9期計画における地域支援事業費の集計範囲を確認したうえで、第9期との連続性を確保します。決算額との差異がある場合は、その理由を注記します。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標準給付費・地域支援事業費の見込み</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編集注記：国の推計ワークシートにより算定します。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所得段階の設定</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編集注記：国の基準に基づき標準13段階を設定します。各段階の保険料率および対象者は、保険料基準額の算定後に記載します。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検証において、評価と改善の仕組みが十分でなかったことが確認されたため、本計画では次のとおり具体的な方法を定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118"/>
        <w:gridCol w:w="2059"/>
        <w:gridCol w:w="1873"/>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現状値（令和5年度）</w:t>
            </w:r>
          </w:p>
        </w:tc>
        <w:tc>
          <w:tcPr>
            <w:tcW w:type="dxa" w:w="187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週1回以上の通いの場への参加率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編集注記：目標値は、福島県平均・全国平均の提供を受けたうえで設定します。水準の妥当性を示すための比較対象が必要なためです。また第4章の各施策に掲げた指標もあわせて管理します。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17b8800ae8e43331cb35c24e12c2e0ac9379cd45.png"/><Relationship Id="rId20" Type="http://schemas.openxmlformats.org/officeDocument/2006/relationships/image" Target="media/f9127a001d161409d136306dc37f569834c9c4e2.png"/><Relationship Id="rId21" Type="http://schemas.openxmlformats.org/officeDocument/2006/relationships/image" Target="media/ad1ce5e2009e1c21d16182b395c0c1077f365d4c.png"/><Relationship Id="rId22" Type="http://schemas.openxmlformats.org/officeDocument/2006/relationships/image" Target="media/c2ea5ed8f543721031ca0ed4f864e6cb46859e88.png"/><Relationship Id="rId23" Type="http://schemas.openxmlformats.org/officeDocument/2006/relationships/image" Target="media/8c679676851485b3ad3624d7f340f2549c062cfc.png"/><Relationship Id="rId24" Type="http://schemas.openxmlformats.org/officeDocument/2006/relationships/image" Target="media/b78d0fb9a323b2804bed42ead9ec57e80b006e69.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2026-08-31T22:48:21.024Z</dcterms:created>
  <dcterms:modified xsi:type="dcterms:W3CDTF">2026-08-31T22:48:21.038Z</dcterms:modified>
</cp:coreProperties>
</file>

<file path=docProps/custom.xml><?xml version="1.0" encoding="utf-8"?>
<Properties xmlns="http://schemas.openxmlformats.org/officeDocument/2006/custom-properties" xmlns:vt="http://schemas.openxmlformats.org/officeDocument/2006/docPropsVTypes"/>
</file>