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解決済み（12件）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町の回答・内部データが必要（53件）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通し番号1本（1〜79）に改めた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12件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6件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53件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1から79 まで欠番・重複なく区分</w:t>
            </w:r>
          </w:p>
        </w:tc>
        <w:tc>
          <w:tcPr>
            <w:tcW w:type="dxa" w:w="1361"/>
            <w:vAlign w:val="center"/>
          </w:tcPr>
          <w:p>
            <w:pPr>
              <w:spacing w:before="20" w:after="20"/>
            </w:pPr>
            <w:r>
              <w:rPr>
                <w:rFonts w:ascii="游ゴシック" w:hAnsi="游ゴシック" w:eastAsia="游ゴシック"/>
                <w:b/>
                <w:i w:val="0"/>
                <w:sz w:val="17"/>
              </w:rPr>
              <w:t>79件</w:t>
            </w:r>
          </w:p>
        </w:tc>
      </w:tr>
    </w:tbl>
    <w:p>
      <w:pPr>
        <w:spacing w:after="40"/>
      </w:pPr>
    </w:p>
    <w:p>
      <w:pPr>
        <w:spacing w:before="60" w:after="60"/>
      </w:pPr>
      <w:r>
        <w:rPr>
          <w:rFonts w:ascii="游ゴシック" w:hAnsi="游ゴシック" w:eastAsia="游ゴシック"/>
          <w:b/>
          <w:i w:val="0"/>
          <w:sz w:val="21"/>
        </w:rPr>
        <w:t>したがって、18件（Ａ・Ｂ）を照会から外し、8件（Ｃ）は照会の内容を縮め、53件（Ｄ）を回答のご依頼の対象とします。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解決済み（12件）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は訂正不要</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当方で一次資料を確認（6件）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介護保険法第117条の改正後の項番号（医療計画との整合、地域福祉計画等との調和）</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第2項の号（施策=第5号・目標=第6号）と項の繰り下がりは条文で確定</w:t>
            </w:r>
            <w:r>
              <w:rPr>
                <w:rFonts w:ascii="游ゴシック" w:hAnsi="游ゴシック" w:eastAsia="游ゴシック"/>
                <w:b w:val="0"/>
                <w:i w:val="0"/>
                <w:sz w:val="17"/>
              </w:rPr>
              <w:t>（内部検討7-1・7-2）。</w:t>
            </w:r>
            <w:r>
              <w:rPr>
                <w:rFonts w:ascii="游ゴシック" w:hAnsi="游ゴシック" w:eastAsia="游ゴシック"/>
                <w:b/>
                <w:i w:val="0"/>
                <w:sz w:val="17"/>
              </w:rPr>
              <w:t>残るのは医療計画との整合・老人福祉計画との一体・地域福祉計画等との調和がどの項かで、現行条文の全文が要る。素案は項番号を書いていないため支障はない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検索結果によるものであり、原典で確かめてから本文に書く</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第88条・第33条の20はどちらも新旧とも12項で、項・号の繰り下がりがない</w:t>
            </w:r>
            <w:r>
              <w:rPr>
                <w:rFonts w:ascii="游ゴシック" w:hAnsi="游ゴシック" w:eastAsia="游ゴシック"/>
                <w:b w:val="0"/>
                <w:i w:val="0"/>
                <w:sz w:val="17"/>
              </w:rPr>
              <w:t>ことを条文で確定（内部検討8）。</w:t>
            </w:r>
            <w:r>
              <w:rPr>
                <w:rFonts w:ascii="游ゴシック" w:hAnsi="游ゴシック" w:eastAsia="游ゴシック"/>
                <w:b/>
                <w:i w:val="0"/>
                <w:sz w:val="17"/>
              </w:rPr>
              <w:t>現行条文で確かめた番号をそのまま計画期間中使える。</w:t>
            </w:r>
            <w:r>
              <w:rPr>
                <w:rFonts w:ascii="游ゴシック" w:hAnsi="游ゴシック" w:eastAsia="游ゴシック"/>
                <w:b w:val="0"/>
                <w:i w:val="0"/>
                <w:sz w:val="17"/>
              </w:rPr>
              <w:t>調和の規定の番号自体は未確認</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Ｋ-1の一部</w:t>
            </w:r>
          </w:p>
        </w:tc>
        <w:tc>
          <w:tcPr>
            <w:tcW w:type="dxa" w:w="3628"/>
            <w:vAlign w:val="center"/>
          </w:tcPr>
          <w:p>
            <w:pPr>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17</w:t>
            </w:r>
          </w:p>
        </w:tc>
        <w:tc>
          <w:tcPr>
            <w:tcW w:type="dxa" w:w="2494"/>
            <w:vAlign w:val="center"/>
          </w:tcPr>
          <w:p>
            <w:pPr>
              <w:keepNext/>
              <w:spacing w:before="20" w:after="20"/>
            </w:pPr>
            <w:r>
              <w:rPr>
                <w:rFonts w:ascii="游ゴシック" w:hAnsi="游ゴシック" w:eastAsia="游ゴシック"/>
                <w:b w:val="0"/>
                <w:i w:val="0"/>
                <w:sz w:val="17"/>
              </w:rPr>
              <w:t>農林水産省「振興山村一覧表」</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w:t>
            </w:r>
          </w:p>
        </w:tc>
        <w:tc>
          <w:tcPr>
            <w:tcW w:type="dxa" w:w="3628"/>
            <w:vAlign w:val="center"/>
          </w:tcPr>
          <w:p>
            <w:pPr>
              <w:keepNext/>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手話に関する施策の推進に関する法律の法律番号と施行日</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障がい素案 第2部第4章の根拠。</w:t>
            </w:r>
            <w:r>
              <w:rPr>
                <w:rFonts w:ascii="游ゴシック" w:hAnsi="游ゴシック" w:eastAsia="游ゴシック"/>
                <w:b w:val="0"/>
                <w:i w:val="0"/>
                <w:sz w:val="17"/>
              </w:rPr>
              <w:t>令和7年6月成立までは確かめたが、法律番号が未確認。</w:t>
            </w:r>
            <w:r>
              <w:rPr>
                <w:rFonts w:ascii="游ゴシック" w:hAnsi="游ゴシック" w:eastAsia="游ゴシック"/>
                <w:b/>
                <w:i w:val="0"/>
                <w:sz w:val="17"/>
              </w:rPr>
              <w:t>町条例（令和7年4月）とあわせて書く</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247"/>
        <w:gridCol w:w="3402"/>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切り分け</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25</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247"/>
            <w:vAlign w:val="center"/>
          </w:tcPr>
          <w:p>
            <w:pPr>
              <w:keepNext/>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spacing w:before="40" w:after="160"/>
        <w:ind w:left="113"/>
      </w:pPr>
      <w:r>
        <w:rPr>
          <w:rFonts w:ascii="游ゴシック" w:hAnsi="游ゴシック" w:eastAsia="游ゴシック"/>
          <w:b/>
          <w:i w:val="0"/>
          <w:sz w:val="17"/>
        </w:rPr>
        <w:t>切り分けは『小野町_町データ待ちの切り分け』（令和8年10月19日）による。</w:t>
      </w:r>
      <w:r>
        <w:rPr>
          <w:rFonts w:ascii="游ゴシック" w:hAnsi="游ゴシック" w:eastAsia="游ゴシック"/>
          <w:b w:val="0"/>
          <w:i w:val="0"/>
          <w:sz w:val="17"/>
        </w:rPr>
        <w:t>Ⅰ＝受領済み／Ⅱ＝見える化／Ⅲ＝公表資料／Ⅳ＝町の内部データ。</w:t>
      </w:r>
      <w:r>
        <w:rPr>
          <w:rFonts w:ascii="游ゴシック" w:hAnsi="游ゴシック" w:eastAsia="游ゴシック"/>
          <w:b/>
          <w:i w:val="0"/>
          <w:sz w:val="17"/>
        </w:rPr>
        <w:t>ⅠからⅢは当方で進みます。</w:t>
      </w: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町の回答・内部データが必要（53件）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町42件（うちご判断をお願いするもの4件）、県11件です。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247"/>
        <w:gridCol w:w="3402"/>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切り分け</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取崩しなし6,053円／12,000千円で6,000円弱／35,000千円で5,808円。</w:t>
            </w:r>
            <w:r>
              <w:rPr>
                <w:rFonts w:ascii="游ゴシック" w:hAnsi="游ゴシック" w:eastAsia="游ゴシック"/>
                <w:b/>
                <w:i w:val="0"/>
                <w:sz w:val="17"/>
              </w:rPr>
              <w:t>取崩しが7年間0であったと分かり、残高が想定より大きい可能性がある</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（介保法第117条第5項第1号）。</w:t>
            </w:r>
            <w:r>
              <w:rPr>
                <w:rFonts w:ascii="游ゴシック" w:hAnsi="游ゴシック" w:eastAsia="游ゴシック"/>
                <w:b/>
                <w:i w:val="0"/>
                <w:sz w:val="17"/>
              </w:rPr>
              <w:t>県高齢者居住安定確保計画の【基本事項】②でも市町村に求められている。</w:t>
            </w:r>
            <w:r>
              <w:rPr>
                <w:rFonts w:ascii="游ゴシック" w:hAnsi="游ゴシック" w:eastAsia="游ゴシック"/>
                <w:b w:val="0"/>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前回計画 第2部（障がい者計画）49項目・96取組の実績</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分野別施策の取組状況（素案 第1部第3章3）。</w:t>
            </w:r>
            <w:r>
              <w:rPr>
                <w:rFonts w:ascii="游ゴシック" w:hAnsi="游ゴシック" w:eastAsia="游ゴシック"/>
                <w:b w:val="0"/>
                <w:i w:val="0"/>
                <w:sz w:val="17"/>
              </w:rPr>
              <w:t>前回計画が掲げた取組が、どこまで行われたか。</w:t>
            </w:r>
            <w:r>
              <w:rPr>
                <w:rFonts w:ascii="游ゴシック" w:hAnsi="游ゴシック" w:eastAsia="游ゴシック"/>
                <w:b/>
                <w:i w:val="0"/>
                <w:sz w:val="17"/>
              </w:rPr>
              <w:t>9分野すべてを引き継ぐため、分野ごとに要る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前回計画は第6期の実績も第7期の見込量もすべて0。</w:t>
            </w:r>
            <w:r>
              <w:rPr>
                <w:rFonts w:ascii="游ゴシック" w:hAnsi="游ゴシック" w:eastAsia="游ゴシック"/>
                <w:b w:val="0"/>
                <w:i w:val="0"/>
                <w:sz w:val="17"/>
              </w:rPr>
              <w:t>必要がなかったのか、使える形になっていなかったのかで、本計画ですべきことが正反対になる。</w:t>
            </w:r>
            <w:r>
              <w:rPr>
                <w:rFonts w:ascii="游ゴシック" w:hAnsi="游ゴシック" w:eastAsia="游ゴシック"/>
                <w:b/>
                <w:i w:val="0"/>
                <w:sz w:val="17"/>
              </w:rPr>
              <w:t>令和7年4月に手話言語条例を施行している</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前回計画 第7期の成果目標①（施設入所者の地域生活移行）の由来</w:t>
            </w:r>
            <w:r>
              <w:rPr>
                <w:rFonts w:ascii="游ゴシック" w:hAnsi="游ゴシック" w:eastAsia="游ゴシック"/>
                <w:b w:val="0"/>
                <w:i w:val="0"/>
                <w:sz w:val="17"/>
              </w:rPr>
              <w:t>（入所者26人に対し移行31人・削減22人）</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入所者より多い人数が移行することはできない。</w:t>
            </w:r>
            <w:r>
              <w:rPr>
                <w:rFonts w:ascii="游ゴシック" w:hAnsi="游ゴシック" w:eastAsia="游ゴシック"/>
                <w:b w:val="0"/>
                <w:i w:val="0"/>
                <w:sz w:val="17"/>
              </w:rPr>
              <w:t>削減22人なら残り4人だが、同じ計画の見込量は施設入所支援15人。国の指針を26人に当てはめると移行2人・削減2人</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前回計画 第7期の短期入所の見込量の置き方</w:t>
            </w:r>
            <w:r>
              <w:rPr>
                <w:rFonts w:ascii="游ゴシック" w:hAnsi="游ゴシック" w:eastAsia="游ゴシック"/>
                <w:b w:val="0"/>
                <w:i w:val="0"/>
                <w:sz w:val="17"/>
              </w:rPr>
              <w:t>（実績のある福祉型を0とし、実績のない医療型に見込みを立てている）</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第8期の見込量に引き継いではならない。</w:t>
            </w:r>
            <w:r>
              <w:rPr>
                <w:rFonts w:ascii="游ゴシック" w:hAnsi="游ゴシック" w:eastAsia="游ゴシック"/>
                <w:b w:val="0"/>
                <w:i w:val="0"/>
                <w:sz w:val="17"/>
              </w:rPr>
              <w:t>本文は「各年度3人、24人日」とするが表は2人で、24÷12＝2人とも合わない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i w:val="0"/>
                <w:sz w:val="17"/>
              </w:rPr>
              <w:t>前回計画 第7期（障がい児）の人と人日の入れ替わり</w:t>
            </w:r>
            <w:r>
              <w:rPr>
                <w:rFonts w:ascii="游ゴシック" w:hAnsi="游ゴシック" w:eastAsia="游ゴシック"/>
                <w:b w:val="0"/>
                <w:i w:val="0"/>
                <w:sz w:val="17"/>
              </w:rPr>
              <w:t>（児童発達支援38人・4人日／放課後等デイ391人・23人日）</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手帳所持者508人の町で放課後等デイを月391人が利用することはありえない。</w:t>
            </w:r>
            <w:r>
              <w:rPr>
                <w:rFonts w:ascii="游ゴシック" w:hAnsi="游ゴシック" w:eastAsia="游ゴシック"/>
                <w:b w:val="0"/>
                <w:i w:val="0"/>
                <w:sz w:val="17"/>
              </w:rPr>
              <w:t>第6期の実績は31人・93人日</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val="0"/>
                <w:i w:val="0"/>
                <w:sz w:val="17"/>
              </w:rPr>
              <w:t>特定地域サービスの適用</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75</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76</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val="0"/>
                <w:i w:val="0"/>
                <w:sz w:val="17"/>
              </w:rPr>
              <w:t>該当する場合、両計画の実施体制が変わる</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77</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78</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79</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spacing w:before="40" w:after="160"/>
        <w:ind w:left="113"/>
      </w:pPr>
      <w:r>
        <w:rPr>
          <w:rFonts w:ascii="游ゴシック" w:hAnsi="游ゴシック" w:eastAsia="游ゴシック"/>
          <w:b/>
          <w:i w:val="0"/>
          <w:sz w:val="17"/>
        </w:rPr>
        <w:t>切り分けは『小野町_町データ待ちの切り分け』（令和8年10月19日）による。</w:t>
      </w:r>
      <w:r>
        <w:rPr>
          <w:rFonts w:ascii="游ゴシック" w:hAnsi="游ゴシック" w:eastAsia="游ゴシック"/>
          <w:b w:val="0"/>
          <w:i w:val="0"/>
          <w:sz w:val="17"/>
        </w:rPr>
        <w:t>Ⅰ＝受領済み／Ⅱ＝見える化／Ⅲ＝公表資料／Ⅳ＝町の内部データ。</w:t>
      </w:r>
      <w:r>
        <w:rPr>
          <w:rFonts w:ascii="游ゴシック" w:hAnsi="游ゴシック" w:eastAsia="游ゴシック"/>
          <w:b/>
          <w:i w:val="0"/>
          <w:sz w:val="17"/>
        </w:rPr>
        <w:t>ⅠからⅢは当方で進みます。</w:t>
      </w: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次の19件は、期限が日付で決まっています。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5329"/>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73</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いま1件だけお願いできるとすれば、№25（基金残高）です。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次が№26（協議会の回数）です。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