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游ゴシック" w:cs="游ゴシック" w:eastAsia="游ゴシック" w:hAnsi="游ゴシック"/>
          <w:b/>
          <w:bCs/>
          <w:i w:val="false"/>
          <w:iCs w:val="false"/>
          <w:color w:val="1F3864"/>
          <w:sz w:val="22"/>
          <w:szCs w:val="22"/>
        </w:rPr>
        <w:t xml:space="preserve">川崎町高齢者保健福祉計画・第10期介護保険事業計画</w:t>
      </w:r>
    </w:p>
    <w:p>
      <w:pPr>
        <w:spacing w:after="480" w:before="0"/>
        <w:jc w:val="center"/>
      </w:pPr>
      <w:r>
        <w:rPr>
          <w:rFonts w:ascii="游ゴシック" w:cs="游ゴシック" w:eastAsia="游ゴシック" w:hAnsi="游ゴシック"/>
          <w:b/>
          <w:bCs/>
          <w:i w:val="false"/>
          <w:iCs w:val="false"/>
          <w:color w:val="9333B0"/>
          <w:sz w:val="22"/>
          <w:szCs w:val="22"/>
        </w:rPr>
        <w:t xml:space="preserve">認知症施策推進計画</w:t>
      </w:r>
    </w:p>
    <w:p>
      <w:pPr>
        <w:pBdr>
          <w:top w:val="double" w:color="1F3864" w:sz="24"/>
          <w:bottom w:val="double" w:color="1F3864" w:sz="24"/>
        </w:pBdr>
        <w:shd w:fill="DAE3F3" w:val="solid"/>
        <w:spacing w:after="240" w:before="480"/>
        <w:jc w:val="center"/>
      </w:pPr>
      <w:r>
        <w:rPr>
          <w:rFonts w:ascii="游ゴシック" w:cs="游ゴシック" w:eastAsia="游ゴシック" w:hAnsi="游ゴシック"/>
          <w:b/>
          <w:bCs/>
          <w:i w:val="false"/>
          <w:iCs w:val="false"/>
          <w:color w:val="1F3864"/>
          <w:sz w:val="36"/>
          <w:szCs w:val="36"/>
        </w:rPr>
        <w:t xml:space="preserve">第2回 策定委員会 想定問答集</w:t>
      </w:r>
    </w:p>
    <w:p>
      <w:pPr>
        <w:spacing w:after="240" w:before="240"/>
        <w:jc w:val="center"/>
      </w:pPr>
      <w:r>
        <w:rPr>
          <w:rFonts w:ascii="游ゴシック" w:cs="游ゴシック" w:eastAsia="游ゴシック" w:hAnsi="游ゴシック"/>
          <w:b/>
          <w:bCs/>
          <w:i w:val="false"/>
          <w:iCs w:val="false"/>
          <w:color w:val="2F5597"/>
          <w:sz w:val="22"/>
          <w:szCs w:val="22"/>
        </w:rPr>
        <w:t xml:space="preserve">〜 委員からの想定質問と回答ポイント（全61問・8カテゴリ） 〜</w:t>
      </w:r>
    </w:p>
    <w:p>
      <w:pPr>
        <w:spacing w:after="80" w:before="2400"/>
        <w:jc w:val="right"/>
      </w:pPr>
      <w:r>
        <w:rPr>
          <w:rFonts w:ascii="游ゴシック" w:cs="游ゴシック" w:eastAsia="游ゴシック" w:hAnsi="游ゴシック"/>
          <w:b w:val="false"/>
          <w:bCs w:val="false"/>
          <w:i w:val="false"/>
          <w:iCs w:val="false"/>
          <w:color w:val="595959"/>
          <w:sz w:val="22"/>
          <w:szCs w:val="22"/>
        </w:rPr>
        <w:t xml:space="preserve">令和8年11月24日（火）</w:t>
      </w:r>
    </w:p>
    <w:p>
      <w:pPr>
        <w:spacing w:after="80" w:before="80"/>
        <w:jc w:val="right"/>
      </w:pPr>
      <w:r>
        <w:rPr>
          <w:rFonts w:ascii="游ゴシック" w:cs="游ゴシック" w:eastAsia="游ゴシック" w:hAnsi="游ゴシック"/>
          <w:b/>
          <w:bCs/>
          <w:i w:val="false"/>
          <w:iCs w:val="false"/>
          <w:color w:val="1F3864"/>
          <w:sz w:val="22"/>
          <w:szCs w:val="22"/>
        </w:rPr>
        <w:t xml:space="preserve">（事務局用・町担当ご参考資料）</w:t>
      </w:r>
    </w:p>
    <w:p>
      <w:pPr>
        <w:spacing w:after="80" w:before="80"/>
        <w:jc w:val="right"/>
      </w:pPr>
      <w:r>
        <w:rPr>
          <w:rFonts w:ascii="游ゴシック" w:cs="游ゴシック" w:eastAsia="游ゴシック" w:hAnsi="游ゴシック"/>
          <w:b w:val="false"/>
          <w:bCs w:val="false"/>
          <w:i w:val="false"/>
          <w:iCs w:val="false"/>
          <w:color w:val="595959"/>
          <w:sz w:val="18"/>
          <w:szCs w:val="18"/>
        </w:rPr>
        <w:t xml:space="preserve">ビズアップ公共コンサルティング株式会社</w:t>
      </w:r>
    </w:p>
    <w:p>
      <w:pPr>
        <w:pageBreakBefore/>
        <w:spacing w:after="0" w:before="0" w:line="240"/>
      </w:pPr>
      <w:r>
        <w:rPr>
          <w:rFonts w:ascii="游ゴシック" w:cs="游ゴシック" w:eastAsia="游ゴシック" w:hAnsi="游ゴシック"/>
          <w:b w:val="false"/>
          <w:bCs w:val="false"/>
          <w:i w:val="false"/>
          <w:iCs w:val="false"/>
          <w:color w:val="000000"/>
          <w:sz w:val="16"/>
          <w:szCs w:val="16"/>
        </w:rPr>
        <w:t xml:space="preserve"/>
      </w:r>
    </w:p>
    <w:p>
      <w:pPr>
        <w:pBdr>
          <w:bottom w:val="single" w:color="1F3864" w:sz="18"/>
        </w:pBdr>
        <w:spacing w:after="240" w:before="240" w:line="320"/>
        <w:jc w:val="center"/>
      </w:pPr>
      <w:r>
        <w:rPr>
          <w:rFonts w:ascii="游ゴシック" w:cs="游ゴシック" w:eastAsia="游ゴシック" w:hAnsi="游ゴシック"/>
          <w:b/>
          <w:bCs/>
          <w:i w:val="false"/>
          <w:iCs w:val="false"/>
          <w:color w:val="1F3864"/>
          <w:sz w:val="28"/>
          <w:szCs w:val="28"/>
        </w:rPr>
        <w:t xml:space="preserve">本資料の使い方</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本資料は、第2回策定委員会において委員から想定される質問と回答ポイントをカテゴリ別に整理した事務局用参考資料です。第2回は「ご選択いただきたい事項（5件）」をお決めいただく回であり、選択の帰結が保険料に表れることから、保険料に関する問を最も厚く置いています。委員会本番では本資料を参照しながら、町担当課（保健福祉課）からの回答補強や事務局からの補足説明にお役立てください。</w:t>
      </w:r>
    </w:p>
    <w:p>
      <w:pPr>
        <w:pBdr>
          <w:top w:val="single" w:color="548235" w:sz="6"/>
          <w:bottom w:val="single" w:color="548235" w:sz="12"/>
        </w:pBdr>
        <w:shd w:fill="E2EFDA" w:val="solid"/>
        <w:spacing w:after="80" w:before="80" w:line="280"/>
        <w:ind w:left="288"/>
      </w:pPr>
      <w:r>
        <w:rPr>
          <w:rFonts w:ascii="游ゴシック" w:cs="游ゴシック" w:eastAsia="游ゴシック" w:hAnsi="游ゴシック"/>
          <w:b/>
          <w:bCs/>
          <w:i w:val="false"/>
          <w:iCs w:val="false"/>
          <w:color w:val="548235"/>
          <w:sz w:val="19"/>
          <w:szCs w:val="19"/>
        </w:rPr>
        <w:t xml:space="preserve">● 本資料は委員には配布せず、町担当・事務局のみが参照する内部資料です。</w:t>
      </w:r>
    </w:p>
    <w:p>
      <w:pPr>
        <w:pBdr>
          <w:bottom w:val="single" w:color="1F3864" w:sz="4"/>
        </w:pBdr>
        <w:shd w:fill="DAE3F3" w:val="solid"/>
        <w:spacing w:after="100" w:before="240" w:line="300"/>
      </w:pPr>
      <w:r>
        <w:rPr>
          <w:rFonts w:ascii="游ゴシック" w:cs="游ゴシック" w:eastAsia="游ゴシック" w:hAnsi="游ゴシック"/>
          <w:b/>
          <w:bCs/>
          <w:i w:val="false"/>
          <w:iCs w:val="false"/>
          <w:color w:val="1F3864"/>
          <w:sz w:val="22"/>
          <w:szCs w:val="22"/>
        </w:rPr>
        <w:t xml:space="preserve">▌ カテゴリ構成（全61問）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8%"/>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カテゴリ</w:t>
            </w:r>
          </w:p>
        </w:tc>
        <w:tc>
          <w:tcPr>
            <w:tcW w:type="pct" w:w="36%"/>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テーマ</w:t>
            </w:r>
          </w:p>
        </w:tc>
        <w:tc>
          <w:tcPr>
            <w:tcW w:type="pct" w:w="8%"/>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問数</w:t>
            </w:r>
          </w:p>
        </w:tc>
        <w:tc>
          <w:tcPr>
            <w:tcW w:type="pct" w:w="26%"/>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想定質問者</w:t>
            </w:r>
          </w:p>
        </w:tc>
        <w:tc>
          <w:tcPr>
            <w:tcW w:type="pct" w:w="22%"/>
            <w:shd w:fill="1F3864"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FFFFFF"/>
                <w:sz w:val="18"/>
                <w:szCs w:val="18"/>
              </w:rPr>
              <w:t xml:space="preserve">優先度</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訂正事項と第1回のご意見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委員長・全委員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高（冒頭で問われる）</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サービス提供体制と介護人材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介護事業者・有識者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高（最大の論点）</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第10期の重点課題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委員長・有識者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中</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D</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ご選択いただきたい事項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全委員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高（本日の中心）</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E</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介護保険料</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住民代表・有識者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高（住民負担）</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F</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計画骨子と中長期の見通し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委員長・有識者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中</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G</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今後の予定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全委員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中</w:t>
            </w:r>
          </w:p>
        </w:tc>
      </w:tr>
      <w:tr>
        <w:tc>
          <w:tcPr>
            <w:shd w:fill="DAE3F3" w:val="solid"/>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bCs/>
                <w:i w:val="false"/>
                <w:iCs w:val="false"/>
                <w:color w:val="000000"/>
                <w:sz w:val="18"/>
                <w:szCs w:val="18"/>
              </w:rPr>
              <w:t xml:space="preserve">H</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bCs/>
                <w:i w:val="false"/>
                <w:iCs w:val="false"/>
                <w:color w:val="000000"/>
                <w:sz w:val="18"/>
                <w:szCs w:val="18"/>
              </w:rPr>
              <w:t xml:space="preserve">交付金の評価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000000"/>
                <w:sz w:val="18"/>
                <w:szCs w:val="18"/>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false"/>
                <w:bCs w:val="false"/>
                <w:i w:val="false"/>
                <w:iCs w:val="false"/>
                <w:color w:val="000000"/>
                <w:sz w:val="18"/>
                <w:szCs w:val="18"/>
              </w:rPr>
              <w:t xml:space="preserve">有識者・委員長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false"/>
                <w:bCs w:val="false"/>
                <w:i w:val="false"/>
                <w:iCs w:val="false"/>
                <w:color w:val="C00000"/>
                <w:sz w:val="18"/>
                <w:szCs w:val="18"/>
              </w:rPr>
              <w:t xml:space="preserve">中（資料７に対応）</w:t>
            </w:r>
          </w:p>
        </w:tc>
      </w:tr>
    </w:tbl>
    <w:p>
      <w:pPr>
        <w:pBdr>
          <w:bottom w:val="single" w:color="1F3864" w:sz="4"/>
        </w:pBdr>
        <w:shd w:fill="DAE3F3" w:val="solid"/>
        <w:spacing w:after="100" w:before="240" w:line="300"/>
      </w:pPr>
      <w:r>
        <w:rPr>
          <w:rFonts w:ascii="游ゴシック" w:cs="游ゴシック" w:eastAsia="游ゴシック" w:hAnsi="游ゴシック"/>
          <w:b/>
          <w:bCs/>
          <w:i w:val="false"/>
          <w:iCs w:val="false"/>
          <w:color w:val="1F3864"/>
          <w:sz w:val="22"/>
          <w:szCs w:val="22"/>
        </w:rPr>
        <w:t xml:space="preserve">　▌ 各問の構成</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Q（質問）：想定される質問内容と質問者属性</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A（回答）：基本的な回答ポイント（事務局・町担当による発言案）</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根拠データ：回答を支える数値・データ・法令</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w:t>
      </w:r>
      <w:r>
        <w:rPr>
          <w:rFonts w:ascii="游ゴシック" w:cs="游ゴシック" w:eastAsia="游ゴシック" w:hAnsi="游ゴシック"/>
          <w:b w:val="false"/>
          <w:bCs w:val="false"/>
          <w:i w:val="false"/>
          <w:iCs w:val="false"/>
          <w:color w:val="000000"/>
          <w:sz w:val="20"/>
          <w:szCs w:val="20"/>
        </w:rPr>
        <w:t xml:space="preserve">関連資料：本問への詳細回答が必要な場合の参照資料</w:t>
      </w:r>
    </w:p>
    <w:p>
      <w:pPr>
        <w:pBdr>
          <w:top w:val="single" w:color="ED7D31" w:sz="12"/>
          <w:bottom w:val="single" w:color="ED7D31" w:sz="12"/>
        </w:pBdr>
        <w:shd w:fill="FCE4D6" w:val="solid"/>
        <w:spacing w:after="240" w:before="240"/>
      </w:pPr>
      <w:r>
        <w:rPr>
          <w:rFonts w:ascii="游ゴシック" w:cs="游ゴシック" w:eastAsia="游ゴシック" w:hAnsi="游ゴシック"/>
          <w:b/>
          <w:bCs/>
          <w:i w:val="false"/>
          <w:iCs w:val="false"/>
          <w:color w:val="ED7D31"/>
          <w:sz w:val="21"/>
          <w:szCs w:val="21"/>
        </w:rPr>
        <w:t xml:space="preserve">●注意事項：回答案は標準的な内容です。委員会当日は委員の発言ニュアンスを踏まえ、柔軟に調整してください。即答困難な質問は「お持ち帰り検討」とし、第3回委員会で書面により回答する旨をお伝えください。</w:t>
      </w:r>
    </w:p>
    <w:p>
      <w:pPr>
        <w:pageBreakBefore/>
        <w:spacing w:after="0" w:before="0" w:line="240"/>
      </w:pPr>
      <w:r>
        <w:rPr>
          <w:rFonts w:ascii="游ゴシック" w:cs="游ゴシック" w:eastAsia="游ゴシック" w:hAnsi="游ゴシック"/>
          <w:b w:val="false"/>
          <w:bCs w:val="false"/>
          <w:i w:val="false"/>
          <w:iCs w:val="false"/>
          <w:color w:val="000000"/>
          <w:sz w:val="16"/>
          <w:szCs w:val="16"/>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A　訂正事項と第1回のご意見（4問）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　【委員長】　訂正事項が5件も出たのはなぜか。ほかにも誤りがあるのではないか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5件のうち3件は、第1回資料の作成時点で当社が数値の読み方を誤ったもの、1件は表記の不統一、1件は認知症基本法の条番号の誤りです。いずれも第1回でのご議論の前提に関わるため、冒頭でお示ししました。第1回以降、①集計ブックと本文の全件突合、②算定はすべてスクリプトから値を引き固定値を書き写さない、③レッドチームレビューの実施、の3つを手順として定めています。さらに、令和8年9月からは、同じ事項に2つの値が置かれていないか、割合に分母が併記されているかを機械で確かめる自己点検を計画素案と本資料に組み込みました。現在の資料の数値は、介護保険事業状況報告（年報・令和7年度）及び地域包括ケア「見える化」システムの総括表と突き合わせ済み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２（訂正事項の表・5件）。令和7年度の基準値は見える化システムの総括表と32サービスすべてで一致</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計画素案Ver.2.22、川崎町_第10期_計画見込量の算定結果_R8.9.15</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　【介護事業者】　第1回で出した介護人材の意見は、どこにどう反映されたのか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3か所に反映しています。第1に、重点課題の優先度1を「サービス提供体制の維持」とし、第9期計画にはなかった課題として立てました。第2に、計画に第7章「サービス提供体制と介護人材の確保」を新設しました。第3に、本日の選択4として、町がどこまで関与するかをお諮りしています。また、給付費が伸びない理由を「介護予防の成果」ではなく「供給側の制約」として読み直しました。</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第1回のご意見：1ユニット分の人員削減、訪問介護の稼働の乏しさ、人材紹介料による運転資金の圧迫。⚠ 人数・金額は、議事録で確かめられていないこと、町内が8事業所・3法人であり法人が識別され得ることから、資料には記載していません</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第2回資料 ２（第1回のご意見の表）・４（重点課題5本の表）、計画素案Ver.2.22 第7章</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　【委員長】　事業所への照会を行わないと聞いたが、供給側の実態はどう把握するのか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介護サービス情報公表システムにより把握しました。町内14の指定すべてについて、定員・在所者数・入所率・待機者数・職種別の従業者数・前年度の採用者数及び退職者数・指定の年月日・退所先を採録しています（令和8年10月）。事業所にお手数をおかけせず、また町のご回答をお待ちすることなく把握できました。⚠ 公表の項目にないものは5件（稼働率・入所前の居所・休止床の数・経営の状況・町への要望）で、前の3件は入所率と定員の差で代え、後の2件は地域ケア会議・地域密着型サービス運営協議会という既存の場で聴くこととし、計画期間を通じた仕組みとして第7章に位置付け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３（町内事業所の状況の表・退所先の表）。介護サービス情報公表システム（介護保険法第115条の35）</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川崎町_町内事業所の実態_公表システム_R8.10.20.xlsx、川崎町_事業所ヒアリングを行わない整理_R8.10.20.md、確認事項No.170</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QB-45　【委員長】　訂正が11件に増えたが、資料は信用してよいのか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訂正の内容は、いずれも数値の読み方と出所の取り違えであり、算定の方法そのものの誤りではありません。No.1〜7は保険料試算の内部整合を検算して見つけたもので、算定式に印字されている値だけを用いて全39項目を検算しています。No.8〜11は、計画素案を介護サービス情報公表システムの公表値と突き合わせる過程で見つけたものです。⚠ 同じ数値を2つの資料に別々に書かず、出所を1か所に固定する形に改めています。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２（訂正の表・11件）。保険料の検算39項目すべて適合</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計画素案Ver.2.22、川崎町_町内事業所の実態_公表システム_R8.10.20.xlsx</w:t>
      </w:r>
      <w:r>
        <w:rPr>
          <w:rFonts w:ascii="游ゴシック" w:cs="游ゴシック" w:eastAsia="游ゴシック" w:hAnsi="游ゴシック"/>
          <w:b w:val="false"/>
          <w:bCs w:val="false"/>
          <w:i w:val="false"/>
          <w:iCs w:val="false"/>
          <w:color w:val="000000"/>
          <w:sz w:val="20"/>
          <w:szCs w:val="20"/>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B　サービス提供体制と介護人材（10問）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　【有識者】　給付費が伸びていないのは、介護予防の成果ではないのか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どちらとも言い切れないというのが現時点の整理です。標準給付費は令和6年度1,093,253千円から令和7年度1,084,587千円へ0.8％減っています。介護予防が効いていれば認定率が下がるはずですが、認定率は上昇しています。一方、第1回でご指摘のあった1ユニット分の人員削減や訪問介護の稼働の乏しさは、供給側の制約を強く示唆します。⚠ 公表情報でも、町内の訪問介護の従業者は常勤換算4.5人にとどまり、入所・居住系の入所率は96.0％に達しています。本計画では、供給側の制約である可能性を前提に、提供体制の維持を重点課題の第1に置い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標準給付費 令和6年度1,093,253千円→令和7年度1,084,587千円（▲0.8％）。認定率は令和6年度16.9％→令和7年度17.0％</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第2回資料 ３（追加調査の結果・給付費の推移の表）、計画素案Ver.2.22 第2章2-3・第7章</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　【介護事業者】　訪問介護の供給余力が乏しいとあるが、具体的にはどの程度か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A．公表情報では、町内の訪問介護の従業者は実人数5人・常勤換算4.5人です（令和8年1月記入）。⚠ 公表の項目は「従業者数」であり、登録者数と実働者数の別はありません。第1回策定委員会では、登録している訪問介護員のうち実際に稼働している者はごく一部にとどまるとのご発言がありました。町域が広く移動時間が長いことも、1人が回れる件数を制約します。見込量は需要側から算定していますので、この制約が続けば計画値に実績が届かないことになり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介護サービス情報公表システム（訪問介護・実人数5人・常勤換算4.5人）。第1回策定委員会でのご発言。町域の約8割が山林、過疎地域（全部過疎）の指定</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計画素案Ver.2.22 第2章2-7、第7章7-2</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　【有識者】　人材が確保できないなら、見込量は絵に描いた餅ではないか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ご指摘のとおりの面があります。本計画の見込量は令和7年度の利用実態を基礎とする需要側の推計であり、供給の制約は織り込んでいません。このため計画書には、供給側の事象が見込量と給付費に与える影響を整理した表を置き、計画値と実績値の乖離を毎年度モニタリングして公表する仕組みを第8章に定めています。乖離が生じた場合に、需要・供給・単価のどれによるものかを分けて示すことを予定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第9期は計画値に対し実績が5〜6％上振れしていたが、基準年度を完結年度（令和7年度）に改めたことで解消</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計画素案Ver.2.22 第7章7-3、第8章8-3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QB-7　【住民代表】　町が介護人材の確保に費用を出すことは、介護保険の財源でできるのか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介護人材の確保に係る市町村の単独事業は、原則として介護保険の地域支援事業費の対象外であり、町の一般財源によることになります。宮城県が実施するプラットフォーム事業や国の補助事業を活用できる場合はその範囲で対応できますが、町独自の資格取得支援や住宅支援は町長部局・財政担当との調整が必要です。選択4はこの点をご承知おきのうえでご判断いただくもの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選択４の表。国は都道府県主体で介護人材確保・生産性向上・経営改善支援のプラットフォームを整備する方針</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川崎町_介護人材確保_国県財源メモ_R8.9.3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QB-8　【民生委員】　外国人材の受入れについて、町はどう考えているのか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選択4のＣには外国人材の受入支援を含めています。受入れは事業所が行うものですが、住まいの確保・生活支援・日本語学習の環境は地域の課題になります。町が関与する場合の範囲を本日ご議論いただき、計画の第7章に記載する内容を定めたいと考えています。なお、受入れの可否そのものは事業所のご判断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選択４のＣ</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計画素案Ver.2.22 第7章7-4</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QB-46　【介護事業者】　事業所に照会せずに、供給の実態が分かるのか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分かります。介護サービス情報公表システムには、事業所ごと・サービスごとの詳細ページがあり、定員・在所者数・待機者数・職種別の従業者数・前年度の採用者数と退職者数・指定の年月日・退所先が公表されています。これは介護保険法第115条の35により事業所が都道府県知事に報告し、都道府県が公表する情報です。町内14の指定すべてから採録しました（令和8年10月）。⚠ 公表情報は事業所の年1回の報告によりますので、記入日は事業所ごとに異なります（令和7年9月〜令和8年10月）。いつ時点の値かを表に併記しています。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介護サービス情報公表システム（介護保険法第115条の35）。町内14の指定・記入日 令和7年9月〜令和8年10月</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第2回資料 ３、川崎町_町内事業所の実態_公表システム_R8.10.20.xlsx</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QB-47　【有識者】　入所率96.0％とあるが、空きがないということか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入所率は「記入日前月の在所者数÷定員」であり、延べ利用日数による稼働率ではありません。また、町外の方の利用も含みますので、第9章の本町の被保険者の利用実績と割ることはできません。内わけは、介護老人福祉施設が定員30人に対し在所30人（100.0％）、介護老人保健施設が86人に対し82人（95.3％）、地域密着型介護老人福祉施設が30人に対し28人（93.3％）、認知症対応型共同生活介護が27人に対し26人（96.3％）です。⚠ 空いている7人分が休止床なのか空床なのかの別は、公表の項目にありません。</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３（町内事業所の状況の表）。定員計173人・在所計166人</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計画素案Ver.2.22 第2章2-7・第7章7-1</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QB-48　【住民代表】　町内の介護職員は何人いるのか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合計の人数はお示しできません。公表情報の職員数は「事業所番号×サービス」ごとの報告であり、同一の施設が複数の指定を持つ場合は同じ職員が重複して報告されます（特別養護老人ホームと地域密着型介護老人福祉施設、介護老人保健施設と短期入所療養介護・通所リハビリテーション）。足し合わせると実際より多くなります。⚠ また、町内は8事業所・3法人ですので、事業所ごとの人数をお示しすると法人が識別され得ます。計画書には事業所ごとの職員数を掲げず、サービスの種類ごとの把握にとどめます。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介護サービス情報公表システム（職種別の従業者数と常勤換算・14の指定すべて）</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計画素案Ver.2.22 第2章2-7、川崎町_町内事業所の実態_公表システム_R8.10.20.xlsx 02シート</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QB-49　【民生委員】　特別養護老人ホームの待機者20人とは、どう数えた人数か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A．公表の様式が定める数え方によります。「入所申込者の数－（入所定員－入所者）」、すなわち定員の空きを超えて申し込んでいる人数です。介護老人保健施設は2人です。⚠ 施設が持つ入所申込者名簿そのものの人数ではなく、複数の施設に申し込んでいる方の重複も調整されていません。⚠ 地域密着型介護老人福祉施設と認知症対応型共同生活介護には、公表の様式に待機者数の項目がありません。地域密着型サービスは町が指定権者ですので、町の台帳で補えます。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介護サービス情報公表システム（待機者数の定義は公表の様式による）</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第2回資料 ３、確認事項No.29</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QB-50　【有識者】　退所先に自宅等が0人とあるが、在宅復帰は進んでいないのか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施設の種類により様子が違います。介護老人福祉施設は前年度の退所者9人のうち医療機関6人・死亡3人で、自宅等への退所は0人です。終のすみかとして機能している形です。一方、介護老人保健施設は直近3か月の退所者19人のうち自宅等が7人で、在宅復帰の機能が働いています。認知症対応型共同生活介護は前年度の退居者4人のうち医療機関1人・介護保険施設1人・死亡2人です。⚠ ただし「入所前にどこにいたか」は公表の項目になく、新規入所者が在宅から来ているのか医療機関から来ているのかは把握できていません。整備量の判断には、退所先と待機者数を用います。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３（退所先の表）。介護老人福祉施設9人・介護老人保健施設19人・認知症対応型共同生活介護4人</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計画素案Ver.2.22 第7章7-1、確認事項No.159</w:t>
      </w:r>
      <w:r>
        <w:rPr>
          <w:rFonts w:ascii="游ゴシック" w:cs="游ゴシック" w:eastAsia="游ゴシック" w:hAnsi="游ゴシック"/>
          <w:b w:val="false"/>
          <w:bCs w:val="false"/>
          <w:i w:val="false"/>
          <w:iCs w:val="false"/>
          <w:color w:val="000000"/>
          <w:sz w:val="20"/>
          <w:szCs w:val="20"/>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C　第10期の重点課題（3問）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QB-9　【委員長】　重点課題を5本に絞った根拠は何か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第1回では5分野・課題11本をお示ししましたが、何を重点とするのかが分かりにくいというご指摘を踏まえ、①調査又は実績で裏付けのある事実があること、②第10期の3年間で打ち手があること、の2つを基準に5本へ集約しました。各課題には根拠となる事実と接続する施策を併記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４（重点課題5本と根拠となる事実の表）</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計画素案Ver.2.22 第3章3-4</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QB-10　【社会福祉協議会】　家族介護者が不在の高齢者が課題の1番でなく2番なのはなぜか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優先度は深刻さの順ではなく、提供体制が崩れると他のすべての課題への対応が成り立たなくなるという依存関係によるものです。家族介護なしの方が45.8％、うち56.9％が施設申込み済みという事実は重く、重点課題2として生活支援・見守り・緊急時の受入れ・ケアマネジメントに接続しています。順位の考え方についてご意見があれば承り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在宅介護実態調査 家族介護なし45.8％、うち施設申込み済み56.9％</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計画素案Ver.2.22 第3章3-4、第5章5-3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QB-51　【介護事業者】　第1回で話した人数や金額が資料から消えているのはなぜか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A．2つの理由があります。第1に、議事録で確かめられていないためです。第2に、町内は8事業所・3法人ですので、人数や金額をお示しすると特定の法人が識別され得ます。⚠ ご発言の内容そのものは外していません。「1ユニット分の人員削減」「職員数の減少の見込み」「人材紹介料による運転資金の圧迫」「訪問介護の稼働の乏しさ」として、数値を伴わない事実の記述で残しています。議事録でお確かめいただけるのであれば、数値を戻すこともでき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２（第1回のご意見の表）・４（重点課題5本の表）</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計画素案Ver.2.22 第2章2-7、確認事項No.50・No.51</w:t>
      </w:r>
      <w:r>
        <w:rPr>
          <w:rFonts w:ascii="游ゴシック" w:cs="游ゴシック" w:eastAsia="游ゴシック" w:hAnsi="游ゴシック"/>
          <w:b w:val="false"/>
          <w:bCs w:val="false"/>
          <w:i w:val="false"/>
          <w:iCs w:val="false"/>
          <w:color w:val="000000"/>
          <w:sz w:val="20"/>
          <w:szCs w:val="20"/>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D　ご選択いただきたい事項（8問）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QB-11　【委員長】　選択1のサブタイトル付加は、町の長期総合計画との関係で問題ないか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基本理念「誰もが健やかに暮らせるまちづくり」は、第6次川崎町長期総合計画がまちづくりの基本方針の一つに掲げる文言と共通です。サブタイトルを付す場合は、理念そのものは変えず、第10期で何に重点を置くかを補足する位置づけになります。総合計画を所管する部署との確認が必要であり、本日は方向性をお伺いしたうえで町内で確認します。事務局案は、理念は継承し認知症を独立章とするＢ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選択１の表・施策体系2案の対応関係の表。第6次川崎町長期総合計画</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計画素案Ver.2.22 第4章4-1</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QB-12　【住民代表】　選択2で定員の縮小を選ぶと、後で戻せなくなるのではないか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計画に位置付ける整備量は、期間中の上限を定めるものではなく、見込量として置くものです。実際の整備は事業者の意向と指定の手続によります。ただし、計画に位置付けていない整備は県との協議で説明が必要になりますので、縮小を織り込む場合は、第11期に向けて再び増やす場合の手順を計画に明記しておくことをお勧めし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選択２の表。入所・居住系の利用者が10人増減すると保険料は月額約211円動く</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計画素案Ver.2.22 第9章9-1、第7章7-3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QB-13　【民生委員】　選択2を判断するうえで、特別養護老人ホームの待機者は何人いるのか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公表情報では20人です。これは公表の様式が定める数え方によるもので、「入所申込者の数－（入所定員－入所者）」、すなわち定員の空きを超えて申し込んでいる人数です（令和8年1月記入）。介護老人保健施設は2人です。⚠ 施設が持つ入所申込者名簿そのものの人数ではなく、複数の施設に申し込んでいる方の重複も調整されていません。在宅介護実態調査では、施設入居の申込み済みが33.8％、検討しているが14.4％で計48.2％ですが、これは調査に回答された方の割合であり、待機者名簿とは別のもの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介護サービス情報公表システム（介護老人福祉施設の待機者20人・介護老人保健施設2人）。在宅介護実態調査 申込み済み33.8％／検討14.4％（計48.2％）。単身世帯では申込み済み69.4％・検討を含め86.1％（n＝36）</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第2回資料 ３（町内事業所の状況の表）、川崎町_町内事業所の実態_公表システム_R8.10.20.xlsx</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QB-14　【介護事業者】　選択3で定期巡回を計画に位置付けても、事業者が来なければ計画倒れでは</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そのとおりの危険があります。定期巡回・随時対応型訪問介護看護は地域密着型サービスであり、町が指定するものですので、参入の意向を確認したうえで位置付けるかどうかを判断する必要があります。第9期でも計画に位置付けながら整備に至っていません。参入の見込みが立たない場合は、既存の訪問介護・訪問看護・小規模多機能の組合せで代替する方針を明記する選び方（Ａ・Ｃ）もござ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在宅介護実態調査 定期巡回の利用2.0％、夜間対応型訪問介護・看護小規模多機能は0％。利用10人の場合の保険料への効きは月額＋154円</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計画素案Ver.2.22 第9章9-1、第7章7-3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QB-15　【有識者】　選択4で町単独事業を行う場合、財源はどこから出るのか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町の一般財源です。介護保険特別会計からは支出できないため、町長部局・財政担当との調整が前提になります。宮城県のプラットフォーム事業や国の補助事業を活用できる部分はその範囲で対応し、町単独の部分を最小にする組み立てが現実的です。本日は方向性をお伺いし、財源の見通しは町内で確認し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選択４の表</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川崎町_介護人材確保_国県財源メモ_R8.9.3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QB-16　【委員長】　5つの選択の相互の関係を、もう一度説明してほしい</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順に依存しています。選択4（介護人材）が確保できなければ選択2（入所・居住系の整備量）は実現しません。選択2で縮小を選ぶなら選択3（在宅の供給）の受け皿が要ります。選択2と選択3の帰結が給付費に表れ、選択5（基金の取崩し）と組み合わさって保険料が決まります。選択1（理念・体系）はこれらを計画の骨格として表すものです。本日は選択1〜4をお決めいただき、選択5は方向性のみ伺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冒頭の関係図（選択の相互関係）</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第2回資料 5．ご選択いただきたい事項</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QB-52　【住民代表】　入所率が96％なら、定員を増やすべきではないのか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A．定員を増やすには職員が要ります。選択4（介護人材）が確保できなければ、選択2のＣ（増床）は実現しません。また、入所・居住系の利用者が10人増えると保険料は月額約211円上がります。⚠ 一方で、介護老人福祉施設の待機者は20人です。これは定員の空きを超えて申し込んでいる人数であり、増床の必要性を示す材料になります。選択2では、この両面をご覧いただいたうえでご判断をお願い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３（町内事業所の状況の表）・５ 選択２の表。入所・居住系の利用者10人で月額約211円</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計画素案Ver.2.22 第7章7-1・第9章9-1</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QB-53　【委員長】　認知症対応型共同生活介護の定員が27人と分かったが、見込量は変わるのか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A．見込量は変わりません。見込量は利用の実績（令和7年度 月25.9人）から算定しており、定員から算定するものではないためです。定員が分かったことで、必要利用定員総数（介護保険法第117条第2項第1号）の表の空欄が埋まりました。⚠ 定員27人に対し在所26人（96.3％）ですので、見込量（令和11年度 月26.5人）は定員の範囲に収まります。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介護サービス情報公表システム（定員27人・在所26人）。計画素案 第9章9-1 必要利用定員総数の表</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計画素案Ver.2.22 第9章9-1、確認事項No.29</w:t>
      </w:r>
      <w:r>
        <w:rPr>
          <w:rFonts w:ascii="游ゴシック" w:cs="游ゴシック" w:eastAsia="游ゴシック" w:hAnsi="游ゴシック"/>
          <w:b w:val="false"/>
          <w:bCs w:val="false"/>
          <w:i w:val="false"/>
          <w:iCs w:val="false"/>
          <w:color w:val="000000"/>
          <w:sz w:val="20"/>
          <w:szCs w:val="20"/>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E　介護保険料（10問）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QB-17　【住民代表】　保険料の6,822円・6,143円・5,464円は、どう算定したのか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令和7年度（完結年度）の介護保険事業状況報告（年報）の要介護度別の実績を出発点に、要介護度別の認定者数の伸びを乗じてサービス種類別の見込量を出し、1人1月あたり給付費を乗じて給付費を求めました。第10期3か年の総給付費は3,048,796千円、標準給付費見込額は3,313,925千円です。ここから保険料収納必要額を求め、予定収納率96.0％と所得段階別加入割合補正後被保険者数で除しています。算定式は見える化システムの推計ツールと同一で、第9期の公表値6,500円を再現できることを確認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総給付費（3か年）3,048,796千円、標準給付費見込額3,313,925千円、補正後被保険者数9,743.1人、予定収納率96.0％</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計画素案Ver.2.22 第9章9-3（保険料算定表）</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QB-18　【有識者】　前回の資料では中位7,023円とあった。なぜ下がったのか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2つの理由によります。第1に、給付費の置き方を改めました。前回は給付費の自然増を年率で仮置きしていましたが、令和7年度の要介護度別実績から積み上げる方法に改めたところ、伸びは想定より小さくなりました。第2に、所得段階別第1号被保険者数を実績（13段階）に改めました。見える化システムには第10〜13段階が0人として登録されており、そのままでは保険料が月額352円高く算定されます。年報に実績の記載があることが分かり、これを反映しました。</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所得段階別加入割合による補正係数 0.964047→1.013748。令和7年度末の実績 計3,240人（第10段階26／第11段階17／第12段階7／第13段階28人）</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川崎町_計画素案_修正記録_v1.16、同_v1.17</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QB-19　【住民代表】　基金が152,500千円あるなら、全額取り崩して保険料を下げればよいのではないか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全額を取り崩すと第10期は5,464円（第9期比▲1,036円）まで下がりますが、第11期を基金0の状態で始めることになります。第11期は団塊の世代が全員80歳を超える時期に当たり、給付費の増加が見込まれるため、そのときに基金がないと保険料を急に上げざるを得なくなります。国は基金残高の概ね半分以下を取崩水準として示しており、事務局案は第9期と同じ考え方による50％取崩し（6,143円）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基金残高 令和7年度末148,100千円・令和8年度末見込み152,500千円。取崩額1,000万円あたり月額約86円</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第2回資料 ５ 選択５の表、計画素案Ver.2.22 第9章9-3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QB-20　【有識者】　第9期は取崩しゼロだったのに、なぜ基金が積み上がったのか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第9期計画は基金131,700千円の一部を取り崩す前提で保険料を6,500円としましたが、実際には給付費が計画を下回り、取崩しを要しませんでした。取崩しを見込んで保険料を低く設定したうえで取り崩さずに済んだため、その分が剰余となり基金が増えています。第10期では、基準年度を完結年度（令和7年度）に改めて計画値と実績値の乖離を小さくしており、同じことが繰り返される見込みは小さいと考え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第9期の取崩予定78,000千円に対し実際の取崩額は全年度0。基金残高 令和2年度116,000千円→令和7年度末148,100千円</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計画素案Ver.2.22 第9章9-3、第8章8-3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QB-21　【住民代表】　結局のところ、保険料は上がるのか下がるのか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基金の取崩方針によります。取崩しを行わない場合は6,822円で第9期の6,500円から322円上がり、50％取崩しでは6,143円で357円下がります。全額取崩しでは5,464円で1,036円下がります。ただし、令和9年度の介護報酬改定と第1号被保険者負担割合の政令が未確定であり、改定率1％で月額66円、負担割合が24％となれば月額309円上がります。確定値は第3回策定委員会でお示しし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５ 選択５の表・６（介護報酬改定率別の算定表）。第9期の準備基金取崩前の水準は7,207円で、取崩しを行わないＡでもこれを385円下回る</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計画素案Ver.2.22 第9章9-3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QB-22　【有識者】　介護報酬改定が入ると保険料はどれだけ上がるのか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改定率1％あたり月額約65円です。3％の改定であれば約196円上がります。令和9年度は3年周期の改定年に当たり（令和3年度・令和6年度の次）、告示は令和9年1月頃の見込みです。本日お示ししている額は改定率0％（令和7年度の単価で固定）によるものです。国の様式でも、改定率が示されるまでは1.0000で仮置きすることとされ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６（介護報酬改定率別の算定表・保険料を動かす要因の表）。改定率1％＝月額＋65円、3％＝＋196円</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計画素案Ver.2.22 第9章9-3（前提を動かした場合の幅）</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QB-23　【住民代表】　調整交付金とは何か。なぜ保険料の変動要因になるのか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調整交付金は、市町村ごとの後期高齢者の割合と所得の分布の違いを国が調整するために交付するものです。標準は給付費の5％ですが、後期高齢者の割合が高く所得の低い市町村には5％を超えて交付されます。川崎町は後期高齢者の割合が高いため、見える化システムの自動計算では令和9年度6.14％となっています。この割合が標準の5.0％まで下がると、その分を保険料で賄うことになり月額273円上がります。確定値を宮城県に照会中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見込交付割合 令和9年度6.14％・令和10年度5.93％・令和11年度5.69％（全国の仮置値による自動計算）。5.0％の場合＋273円</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計画素案Ver.2.22 第9章9-3、資料提供依頼No.31</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QB-24　【有識者】　予定収納率96.0％は低すぎないか。実績はもっと高いのではないか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現年度分だけを見れば令和7年度は99.56％と高い水準です。ただし、保険料の算定に用いるのは滞納繰越分を含む総合収納率であり、こちらは令和2〜7年度で96.3〜96.7％です。第9期と同じ96.0％を用いるのは安全側の置き方です。99.6％を採ると保険料は月額247円下がりますが、収納が計画に届かなかった場合に不足が生じます。どの水準を採るかは第3回でご協議いただき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令和7年度 現年度分99.56％・総合収納率96.7％。特別徴収の割合は調定額ベースで約9割</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計画素案Ver.2.22 第9章9-3、業務工程管理表 確認事項No.81</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QB-25　【住民代表】　自分の保険料はいくらになるのか。段階別に知りたい</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川崎町は令和6年度から13段階です。基準額（第5段階）を算定Ｂの6,143円とした場合、第1段階は乗率0.455で2,795円、公費軽減後は1,751円となります。最も高い第13段階は乗率2.400で14,743円です。ただし第10期の標準段階数と標準乗率は国の政令で示される予定であり、確定値は第3回でお示しし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第9期の乗率（13段階・0.455〜2.400）による参考値。令和7年度末の被保険者数は第1〜3段階986人（30.4％）、第10段階以上78人（2.4％）</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計画素案Ver.2.22 第9章9-3（所得段階別保険料）</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QB-54　【有識者】　保険料の前提になる将来推計は、どれを使っているのか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A．地域包括ケア「見える化」システムの将来推計のうち、令和8年10月19日に出力されたパターンを用いています。⚠ これを計画の正本とするかどうかは、町のご判断をお待ちしています。パターンにより認定者数の見通しが変わり、総給付費と保険料が動きます。第3回で確定値をお示しする前提ですので、本日までにご判断いただく必要があります。⚠ あわせて、令和8年度の実績見込み値が差し替え前の値に戻っている点についても確認をお願いしています。伸び率の基準年が動きますので、保険料に直接影響します。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見える化システム 将来推計総括表（令和8年10月19日出力）。全セルを突き合わせ、将来推計人口は不変であることを確認</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川崎町_将来推計総括表R8.10.19の確認_R8.10.19.md、確認事項No.186・No.79</w:t>
      </w:r>
      <w:r>
        <w:rPr>
          <w:rFonts w:ascii="游ゴシック" w:cs="游ゴシック" w:eastAsia="游ゴシック" w:hAnsi="游ゴシック"/>
          <w:b w:val="false"/>
          <w:bCs w:val="false"/>
          <w:i w:val="false"/>
          <w:iCs w:val="false"/>
          <w:color w:val="000000"/>
          <w:sz w:val="20"/>
          <w:szCs w:val="20"/>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F　計画骨子と中長期の見通し（7問）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QB-26　【有識者】　2040年に川崎町の介護はどうなっているのか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計画書に中長期の見通しを掲げました。認定者数は令和11年度581人から令和17年度639人・令和22年度688人へ増える一方、第1号被保険者数は3,177人から2,835人へ減ります。総給付費は令和22年度で1,218,805千円と令和11年度の1.20倍になる見込みです。給付費が増え、負担する人数が減るという構造であり、提供体制の維持と介護予防の両方が要るという見通し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計画素案Ver.2.22 第2章2-3・第9章9-2。利用率・単価を令和7年度で固定し認定者数の伸びのみを反映した参考値</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計画素案Ver.2.22 第9章9-2</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QB-27　【委員長】　第9期の約110施策を全数点検したというが、廃止が4件だけとは少なくないか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点検の結果は、継続・拡充・再編・新規・廃止の別で整理しています。町からご提示いただいた「施策・事業の体系（案）」と統合した結果、全7章17節37項143事業となり、うち継続101件・拡充19件・新規23件です。第9期にあって第10期で記載しない事業は、高齢者外出タクシー利用助成事業（令和7年3月に終了済み）と介護療養型医療施設（令和5年度末に制度廃止）の2件で、いずれも町ご提示の体系（案）でも落とされています。廃止が少ないのは、第9期の事業の多くが現に実施されており、廃止ではなく拡充・再編の対象となるため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８．計画骨子（案）。統合体系表（全7章17節37項143事業・継続101・拡充19・新規23）</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計画素案Ver.2.22 第5章、第3章3-2</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QB-28　【有識者】　KPI管理表を作っても、実績が取れなければ回らないのではないか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ご指摘のとおりです。第9期の評価指標は集計担当・集計方法・集計頻度・出典が定められておらず、実績を確認できていない指標がありました。保険者機能強化推進交付金の評価でも、令和8年度は「評価結果の活用」が令和7年度の満点16点から0点となっています。第10期のKPI管理表では、指標ごとに集計担当と集計方法・頻度を定め、現時点で把握できていない指標は記録様式を整備する年度を明記することと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７（交付金の評価と取り戻せる27点）。保険者機能強化推進交付金 令和7年度16点→令和8年度0点（評価結果の活用）</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計画素案Ver.2.22 第10章10-4</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QB-40　【委員長】　計画書が100頁を超えるのは問題ないのか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委託仕様書は「100頁程度」としています。現在の素案は本文109頁・資料編13頁の計122頁です。詳細な分析（交付金の枝番の分析、保険料の感度分析、認知症施策の追加候補）を別冊に移す圧縮案では本文102頁・計115頁となります。「100頁程度」を本文のみと読むのであれば、圧縮案の本文102頁で収まります。本文のみと読むか資料編を含めるかを、町とご相談のうえ定めたいと考えてい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８（計画書の頁数の見通しの表）。素案Ver.2.9 本文109頁、v2.9c 圧縮案 本文102頁、別冊「詳細分析」9頁</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計画素案Ver.2.22、確認事項No.83</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QB-41　【民生委員】　どの事業が何をするものなのか、計画書を見て分かるのか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分かるようにしました。これまでの素案は事業の一覧表に「項・事業・区分・所管」しか載せておらず、事業の名称だけでは何をするものかが分かりませんでした。17の表・138事業すべてに「内容」の欄を加えています。内容は、第9期計画書の記述（57件）、統合体系表の新規・拡充の内容（33件）、介護保険法や国の指針が定める内容と素案の本文に記述があるもの（48件）から採っており、当方で作文したものはありません。48件については、実際の運用と食い違いがないか町にご確認いただき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計画素案Ver.2.22 第5章・第6章の事業一覧表（17表138事業）</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川崎町_事業の内容の出所_R8.10.4.xlsx、確認事項No.164</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QB-55　【委員長】　町に認知症の人は何人いるのか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推計で374人です。65歳以上人口3,209人の11.7％に当たります。軽度認知障害（ＭＣＩ）は474人（14.8％）です。国の研究（令和4年度の有病率調査）の年齢階級別・男女別の有病率を、本町の年齢階級別・男女別人口に乗じて算定しました。⚠ 国が示す「65歳以上の12.3％」は性・年齢の構成を調整した後の値ですので、そのまま乗じてはいません。同じ式を全国の人口に当てはめると12.3％に戻ることを確かめています。計画素案の第6章6-1に掲げてい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認知症及びＭＣＩの高齢者数と有病率の将来推計（令和4年度調査）。本町の年齢階級別・男女別人口（令和7年度末）</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計画素案Ver.2.22 第6章6-1、川崎町_認知症の人の数の推計_R8.10.19.xlsx</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QB-56　【住民代表】　計画書が117頁では、仕様書の「100頁程度」を超えるのではないか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超えます。現在の素案は本文117頁で、資料編（見込13頁）を加えると計130頁です。詳細な分析を別冊に移す圧縮案では本文106頁程度になります。⚠「100頁程度」を本文のみと読むか資料編を含めて読むかで扱いが変わりますので、町とご相談のうえ定めたいと考えています。なお圧縮案は現在の素案より前の版のままですので、作り直す必要があり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８（頁数の見通しの表）。素案Ver.2.22 本文117頁</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計画素案Ver.2.22、確認事項No.83</w:t>
      </w:r>
      <w:r>
        <w:rPr>
          <w:rFonts w:ascii="游ゴシック" w:cs="游ゴシック" w:eastAsia="游ゴシック" w:hAnsi="游ゴシック"/>
          <w:b w:val="false"/>
          <w:bCs w:val="false"/>
          <w:i w:val="false"/>
          <w:iCs w:val="false"/>
          <w:color w:val="000000"/>
          <w:sz w:val="20"/>
          <w:szCs w:val="20"/>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G　今後の予定（7問）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QB-29　【住民代表】　保険料はいつ確定するのか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A．第3回策定委員会でお示しします。⚠ 本日の開催が11月24日になりましたので、パブリックコメント30日間を挟むと第3回は令和9年2月上旬〜中旬になります。それまでに、①介護給付費準備基金の令和8年度末残高の確定、②調整交付金の見込交付割合（宮城県への照会）、③令和9年度の介護報酬改定の告示、④第1号被保険者負担割合の政令、の4件が確定する必要があります。条例の改正は令和9年3月議会を予定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６（確定していない事項の表）・８（今後の予定の表）</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計画素案Ver.2.22 第9章9-3（確定スケジュール）</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QB-30　【委員長】　パブリックコメントはいつ、どのように行うのか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A．令和8年12月〜令和9年2月を予定しています。計画書（案）を作成し宮城県への事前協議を経たのち、町の広報・ホームページ・窓口で案を公表し、30日間意見を募集します。⚠ 本日から35日で起こすと開始が12月29日に当たり年末年始を挟みますので、令和9年1月4日（月）開始とする案を併せてお示ししています。いただいた意見は第3回策定委員会で対応方針とあわせてお示しし、計画書に反映します。実施要領は町の例規により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第1回策定委員会の策定スケジュール（案）。第2回資料 ８（今後の予定の表）</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業務工程管理表 02_月別工程管理、確認事項No.19</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QB-42　【委員長】　開催日が11月24日に決まったが、納期は大丈夫か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委員会の回数によります。納品は令和9年3月15日で、そこから逆算すると、印刷・製本に3週間、パブリックコメントに30日間、計画書（案）の作成と宮城県への事前協議に1か月余りを要します。全3回（第3回で答申の内容までを確定）であれば、納品は令和9年3月10日となり5日の余裕があります。⚠ 全4回とすると令和9年4月4日となり、20日間間に合いません。パブリックコメントを20日に短縮し印刷を2週間に詰めても3日間足りません。本日、回数とパブリックコメントの開始日をご判断いただきたい理由がここにあり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８（構成の案の表）。全3回・パブコメ30日・印刷3週間＝令和9年3月10日（＋5日）／全4回・同＝令和9年4月4日（▲20日）／全4回・パブコメ20日・印刷2週間＝令和9年3月18日（▲3日）</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川崎町_策定委員会_逆算工程表_R8.10.20.xlsx、確認事項No.85・No.49・No.19</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QB-43　【住民代表】　パブリックコメントを20日間に短くしてよいのか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A．国の「意見公募手続」の指針は30日間以上を原則としていますが、これは行政手続法が定める国の手続についてのものです。市町村が計画の案について行う意見公募は、町の実施要領の定めによります。⚠ ただし、全3回とすれば30日間を確保したうえで納期に収まりますので、短縮の必要はありません。期間を短くする場合でも、広報・ホームページ・窓口での周知は同じように行い、いただいた意見は第3回策定委員会で対応方針とあわせてお示し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８（工程の短縮の案の表・案Ｂ）</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確認事項No.19（パブリックコメントの取扱い）・No.136（実施要領）</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QB-57　【委員長】　第3回はいつになるのか。1月ではないのか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令和9年2月上旬〜中旬になります。本日（11月24日）から、計画書（案）の作成と宮城県への事前協議に約1か月、パブリックコメントに30日間、その結果の整理に10日間を見込むと、1月中には開けません。第3回では、パブリックコメントの結果の報告・保険料基準額の決定・答申の内容の確定を併せて行うことをご提案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８（今後の予定の表・構成の案の表）</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川崎町_策定委員会_逆算工程表_R8.10.20.xlsx、確認事項No.4・No.49</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QB-58　【有識者】　委員会は3回か4回か。仕様書は4回の予定ではないのか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委託仕様書6(3)は「策定委員会の開催回数は4回開催の予定」と定めています。ただし、本日の開催から全4回で進めると、パブリックコメント30日間・印刷製本3週間を見込んだ場合に納品（令和9年3月15日）に20日間間に合いません。パブリックコメントを20日に短縮し印刷を2週間に詰めても3日間足りません。全3回とし、第3回で答申の内容までを確定することをご提案します。仕様書11は「本仕様の定めのない事項については、必要に応じ協議の上実施する」としていますので、ご協議のうえお決めいただきたく存じ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委託仕様書 6(3)・11。第2回資料 ８（構成の案の表）</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川崎町_策定委員会_逆算工程表_R8.10.20.xlsx、確認事項No.49</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QB-59　【住民代表】　パブリックコメントが年末年始にかかるが、大丈夫か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本日から35日で起こすと、開始が12月29日に当たります。年末年始を挟むと実質の周知期間が短くなりますので、令和9年1月4日（月）開始とする案を併せてお示ししています。この場合の納品は令和9年3月15日ちょうどになります。期間と開始日のご判断をお願いし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８（今後の予定の表）</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確認事項No.19・No.136</w:t>
      </w:r>
      <w:r>
        <w:rPr>
          <w:rFonts w:ascii="游ゴシック" w:cs="游ゴシック" w:eastAsia="游ゴシック" w:hAnsi="游ゴシック"/>
          <w:b w:val="false"/>
          <w:bCs w:val="false"/>
          <w:i w:val="false"/>
          <w:iCs w:val="false"/>
          <w:color w:val="000000"/>
          <w:sz w:val="20"/>
          <w:szCs w:val="20"/>
        </w:rPr>
        <w:t xml:space="preserve"/>
      </w:r>
    </w:p>
    <w:p>
      <w:pPr>
        <w:pageBreakBefore/>
        <w:spacing w:after="0" w:before="0" w:line="240"/>
      </w:pPr>
      <w:r>
        <w:rPr>
          <w:rFonts w:ascii="游ゴシック" w:cs="游ゴシック" w:eastAsia="游ゴシック" w:hAnsi="游ゴシック"/>
          <w:b w:val="false"/>
          <w:bCs w:val="false"/>
          <w:i w:val="false"/>
          <w:iCs w:val="false"/>
          <w:color w:val="000000"/>
          <w:sz w:val="16"/>
          <w:szCs w:val="16"/>
        </w:rPr>
        <w:t xml:space="preserve"/>
      </w:r>
    </w:p>
    <w:p>
      <w:pPr>
        <w:pBdr>
          <w:top w:val="double" w:color="1F3864" w:sz="18"/>
          <w:bottom w:val="double" w:color="1F3864" w:sz="18"/>
        </w:pBdr>
        <w:shd w:fill="DAE3F3" w:val="solid"/>
        <w:spacing w:after="240" w:before="240" w:line="360"/>
        <w:jc w:val="center"/>
      </w:pPr>
      <w:r>
        <w:rPr>
          <w:rFonts w:ascii="游ゴシック" w:cs="游ゴシック" w:eastAsia="游ゴシック" w:hAnsi="游ゴシック"/>
          <w:b/>
          <w:bCs/>
          <w:i w:val="false"/>
          <w:iCs w:val="false"/>
          <w:color w:val="1F3864"/>
          <w:sz w:val="24"/>
          <w:szCs w:val="24"/>
        </w:rPr>
        <w:t xml:space="preserve">カテゴリ H　交付金の評価（12問）</w:t>
      </w:r>
      <w:r>
        <w:rPr>
          <w:rFonts w:ascii="游ゴシック" w:cs="游ゴシック" w:eastAsia="游ゴシック" w:hAnsi="游ゴシック"/>
          <w:b/>
          <w:bCs/>
          <w:i w:val="false"/>
          <w:iCs w:val="false"/>
          <w:color w:val="1F3864"/>
          <w:sz w:val="28"/>
          <w:szCs w:val="2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QB-31　【有識者】　交付金の得点が下がったのは、町の取組が後退したということか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得点は令和7年度565点から令和8年度528点へ37点下がりましたが、2つの要素があります。第1に、本町自身の失点です。「評価結果の活用」16点が満点から0点になったことが最大です。第2に、宮城県内35保険者の平均が令和7年度418.9点から令和8年度497.5点へ1年で78.6点上がっており（全国平均の上昇は20.1点）、周囲が急に伸びたことで相対順位が下がっています。得点を3つの指標群に分けると、仕組みを問う体制・取組指標群は380点中353点で全国166位（上位9.5％）であり、取組そのものは全国の上位1割にあり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７（3つの指標群の表）。令和6年度454点→令和7年度565点→令和8年度528点。全国平均455.1点・366位</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計画素案Ver.2.22 第3章3-3、川崎町_交付金_枝番照合メモ_R8.9.28</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QB-32　【委員長】　27点というのは800点のうちのわずかではないか。追う意味があるのか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配点としては大きくありません。ただし、この27点は新たな事業も予算も要さず、仕組みを定めて計画に書くことで取れる部分です。失点272点のうち、活動指標群125点・成果指標群120点は、活動量と結果が伴わなければ動きません。確実に取り戻せるのはこの27点であり、まずここから手を付けるという趣旨です。加えて、3つのうち2つ（給付費適正化事業のア6点、認知症施策推進計画の策定に着手5点）は、すでに町が行っていることを記録し計画に書くだけで要件を満たす可能性があり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７（体制・取組指標群の失点の表）。体制・取組380点中353点／活動220点中95点／成果200点中80点</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計画素案Ver.2.22 第3章3-3・第8章8-2・8-4</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QB-33　【住民代表】　「この委員会で報告することが要件になる」とはどういうことか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評価結果の活用」という評価項目は、ア（年に1回以上、評価結果を庁内の関係者間で説明・共有する場がある）、イ（その場に庁外の関係者が参画している）、ウ（その場の意見を施策の改善・見直しに活用している）、エ（全ての評価結果を公表している）の4つで16点です。このうちイについて、国の評価指標は「地域ケア会議や計画策定委員会等既存の会議体に、議題を追加して報告」することで足りると明記しています。したがって、本日この資料で交付金の評価結果をご報告し、ご意見をいただくことが、そのままイの要件を満たします。あわせて庁内の共有の場（ア）を年1回設け、いただいたご意見を翌年度の予算編成に反映し（ウ）、評価結果を小項目ごとの得点まで町ホームページで公表する（エ）ことを計画の第8章8-4に定め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令和8年度保険者機能強化推進交付金等に係る評価指標（市町村分）5〜6頁の留意点。第2回資料 ７の囲み</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計画素案Ver.2.22 第8章8-4・第10章10-4</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QB-34　【介護事業者】　給付費適正化の6点が0点というのは、町が適正化をしていないということか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そうではありません。同じ評価項目のなかで、縦覧点検の4帳票・有料老人ホーム等の入居者を含むケアプラン点検・福祉用具貸与後のリハビリテーション専門職等による点検の仕組み・福祉用具購入費等の妥当性を検討する仕組みは30点すべて満点です。「給付費適正化方策の策定状況」（32点）も3年連続で満点です。0点なのは「3事業（要介護認定の適正化・ケアプラン等の点検・縦覧点検／医療情報との突合）の全てを実施している」という枝番のみで、この枝番は全国1,741保険者の96.9％が得点しています。3事業のどれが欠けているのか、あるいは実施していても国の該当状況調査で「実施」と回答していないのかを町にご確認いただいており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７（体制・取組指標群の失点の表）。令和8年度評価指標 8〜9頁。確認事項No.127</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計画素案Ver.2.22 第8章8-2・第3章3-3</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QB-35　【民生委員】　川崎町が全国的に評価されている取組はあるのか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あります。「難聴高齢者の早期発見・早期介入」は20点満点で宮城県内1位です（宮城県平均11.3点・全国平均6.9点）。この項目の4つの枝番のうち2つは、全国で14.6％・4.8％の保険者しか得点していないものですが、本町はそのすべてを得ています。難聴は認知症の危険因子として国際的に確立しており、認知症基本法第21条（認知症の予防等）の対応事業として計画の第6章に位置付けます。ほかに「介護予防・日常生活支援」は87点で全国5位、「介護人材の確保・サービス提供基盤の整備」は73点で全国218位です。介護予防ポイント事業とアウトリーチ等の取組も県内1位の評価を得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QB-36　【委員長】　交付金の27点を取り戻すと、交付金はいくら増えるのか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金額はお示しできません。保険者機能強化推進交付金及び介護保険保険者努力支援交付金の交付額は、固定の単価によるものではなく、各保険者の評価得点に第1号被保険者数を乗じた値を用いて、国全体の予算額を全保険者で按分して算定されます。したがって本町の得点が上がっても、同時に他の保険者の得点が上がれば交付額は増えないことがあります。令和8年度の本町の得点528点が533点になった場合、得点の係数上は約0.9％の増ですが、交付額が0.9％増えるとは限りません。本計画では「増額の可能性がある」ものとして扱い、金額の見込みは立てていません。第9章の保険料算定における交付金の取扱いも、令和8年度の交付実績を据え置いてい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QB-37　【住民代表】　意見聴取の様式をつくれば、交付金の5点は確実に入るのか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確実ではありません。評価指標の留意点は「認知症の人と家族等が参画し、意見を反映させる仕組みを整備した上で計画の策定に着手している場合に評価の対象とする」としています。様式及び運用手順を定め、参画・意見の反映・策定への着手の実績と証跡が確認できた場合に、評価の対象となる可能性があるものです。実際の評価は、国の該当状況調査に対する町の回答によります。様式は得点のためにつくるものではなく、認知症のご本人とご家族の声を施策に反映させるためのものです。</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QB-38　【医師会】　認知症ケアパスは、町にはもうあるのではないか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確認中です。策定支援業務の受託者が保有する第9期計画（全108頁）には「ケアパス」の語がありませんが、町のホームページに掲げられた計画に「認知症ケアパスを普及する」旨の記載があるとのご指摘をいただいており、既存のケアパスがある可能性があります。現物・最終更新日・配布実績・ホームページ掲載の状況を確認中で（確認事項No.137）、未作成であれば新規、更新が止まっていれば更新、作成・周知済みであれば継続・改善として第6章に位置付けます。認知症ケアパスは国の認知症施策推進基本計画のKPIで「作成・更新・周知を行っている市町村の数」として数えられる指標ですが、法令が必ず作ることを定めた成果物ではありません。</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QB-39　【住民代表】　認知症施策を増やすと、保険料はどれだけ上がるのか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どの財源で実施するかによります。包括的支援事業・任意事業（本人ミーティング・ピアサポート・伴走型支援等）は第1号被保険者の保険料が財源の23％を占めるため、毎年100万円増やすと月額基準額が約6.1円、毎年500万円増やすと約30.7円上がります（第10期の負担割合が24％となった場合はそれぞれ約6.4円・約32.1円）。町の一般会計で行う啓発・印刷（認知症ケアパスの印刷費等）は保険料に影響しません。宮城県の研修や国庫補助事業を活用するものも同じです。介護サービスの新設・利用増は、別途サービス見込量と給付費で算定します。追加候補15件の金額は、選択1のご判断を経て積算し、第3回策定委員会で保険料に反映します。</w:t>
      </w:r>
      <w:r>
        <w:rPr>
          <w:rFonts w:ascii="游ゴシック" w:cs="游ゴシック" w:eastAsia="游ゴシック" w:hAnsi="游ゴシック"/>
          <w:b w:val="false"/>
          <w:bCs w:val="false"/>
          <w:i w:val="false"/>
          <w:iCs w:val="false"/>
          <w:color w:val="000000"/>
          <w:sz w:val="20"/>
          <w:szCs w:val="20"/>
        </w:rPr>
        <w:t xml:space="preserve"/>
      </w:r>
    </w:p>
    <w:p>
      <w:pPr>
        <w:pBdr>
          <w:top w:val="single" w:color="595959" w:sz="4"/>
        </w:pBdr>
        <w:shd w:fill="F2F2F2" w:val="solid"/>
        <w:spacing w:after="60" w:before="120"/>
      </w:pPr>
      <w:r>
        <w:rPr>
          <w:rFonts w:ascii="游ゴシック" w:cs="游ゴシック" w:eastAsia="游ゴシック" w:hAnsi="游ゴシック"/>
          <w:b/>
          <w:bCs/>
          <w:i w:val="false"/>
          <w:iCs w:val="false"/>
          <w:color w:val="595959"/>
          <w:sz w:val="18"/>
          <w:szCs w:val="18"/>
        </w:rPr>
        <w:t xml:space="preserve">【根拠データ】 第2回資料 ７（本町の強み）。令和8年度 全国集計（市町村分）001732614.xlsx</w:t>
      </w:r>
      <w:r>
        <w:rPr>
          <w:rFonts w:ascii="游ゴシック" w:cs="游ゴシック" w:eastAsia="游ゴシック" w:hAnsi="游ゴシック"/>
          <w:b w:val="false"/>
          <w:bCs w:val="false"/>
          <w:i w:val="false"/>
          <w:iCs w:val="false"/>
          <w:color w:val="000000"/>
          <w:sz w:val="18"/>
          <w:szCs w:val="18"/>
        </w:rPr>
        <w:t xml:space="preserve"/>
      </w:r>
    </w:p>
    <w:p>
      <w:pPr>
        <w:pBdr>
          <w:bottom w:val="single" w:color="595959" w:sz="4"/>
        </w:pBdr>
        <w:shd w:fill="F2F2F2" w:val="solid"/>
        <w:spacing w:after="200" w:before="0"/>
      </w:pPr>
      <w:r>
        <w:rPr>
          <w:rFonts w:ascii="游ゴシック" w:cs="游ゴシック" w:eastAsia="游ゴシック" w:hAnsi="游ゴシック"/>
          <w:b/>
          <w:bCs/>
          <w:i w:val="false"/>
          <w:iCs w:val="false"/>
          <w:color w:val="595959"/>
          <w:sz w:val="18"/>
          <w:szCs w:val="18"/>
        </w:rPr>
        <w:t xml:space="preserve">【関連資料】 計画素案Ver.2.22 第6章6-1・第3章3-3、確認事項No.116</w:t>
      </w:r>
      <w:r>
        <w:rPr>
          <w:rFonts w:ascii="游ゴシック" w:cs="游ゴシック" w:eastAsia="游ゴシック" w:hAnsi="游ゴシック"/>
          <w:b w:val="false"/>
          <w:bCs w:val="false"/>
          <w:i w:val="false"/>
          <w:iCs w:val="false"/>
          <w:color w:val="1F3864"/>
          <w:sz w:val="18"/>
          <w:szCs w:val="18"/>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QB-44　【有識者】　第9期は、計画どおりに進んだのか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令和7年度でみると、給付費は計画10億1,102万円に対し実績9億9,822万円（達成率98.7％）で、総額ではほぼ計画どおりでした。ただし内わけでは、居宅サービスが計画を8.8％下回る一方、施設サービスは3.3％上回っています。総額が一致していることの内側で、在宅から施設・居住系への移行が進んでいます。第10期の見込量は、この移行が続くことを前提としています。なお、この計画値と実績値の対比は、交付金 推進 目標Ⅰ（ⅱ）2「事業計画の進捗状況」（12点・本町0点）が求める分析に当たります。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第2回資料 ７（第9期の計画値と実績値の対比の表）。居宅 353,651→322,680千円／地域密着型 179,884→182,190千円／施設 477,485→493,350千円</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計画素案Ver.2.22 第3章3-3（図3-2）、川崎町_第9期_計画値実績対比表_R8.10.1.xlsx</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QB-60　【有識者】　介護人材の評価は満点だと聞いたが、27点を取り戻すという話と矛盾しないか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 27点が2つあり、別のものです。1つは、800点全体のうち「体制・取組指標群」（380点）の失点27点で、評価結果の活用16点・給付費適正化事業ア6点・認知症施策推進計画の策定着手5点の3か所です。本日の7でご説明しているのはこちらです。もう1つは、推進交付金 目標Ⅲ（介護人材の確保その他のサービス提供基盤の整備・100点）のうち活動指標群の失点27点で、研修の実施に関するものです。⚠ 目標Ⅲの体制・取組指標群は64点満点で、全国で最も高い得点です（同じ64点は165団体）。仕組みは既に整っており、得点を高めるには研修の実施そのものが要ります。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令和8年度 全国集計（市町村分）。推進 目標Ⅲ 合計73点（全国218位）／(ⅰ)体制・取組64点満点／(ⅱ)活動9点（36点満点）</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計画素案Ver.2.22 第7章7-6・第3章3-3</w:t>
      </w:r>
      <w:r>
        <w:rPr>
          <w:rFonts w:ascii="游ゴシック" w:cs="游ゴシック" w:eastAsia="游ゴシック" w:hAnsi="游ゴシック"/>
          <w:b w:val="false"/>
          <w:bCs w:val="false"/>
          <w:i w:val="false"/>
          <w:iCs w:val="false"/>
          <w:color w:val="000000"/>
          <w:sz w:val="20"/>
          <w:szCs w:val="20"/>
        </w:rPr>
        <w:t xml:space="preserve"/>
      </w:r>
    </w:p>
    <w:p>
      <w:pPr>
        <w:pBdr>
          <w:top w:val="single" w:color="1F3864" w:sz="18"/>
          <w:bottom w:val="single" w:color="1F3864" w:sz="4"/>
        </w:pBdr>
        <w:shd w:fill="DAE3F3" w:val="solid"/>
        <w:spacing w:after="0" w:before="280"/>
      </w:pPr>
      <w:r>
        <w:rPr>
          <w:rFonts w:ascii="游ゴシック" w:cs="游ゴシック" w:eastAsia="游ゴシック" w:hAnsi="游ゴシック"/>
          <w:b/>
          <w:bCs/>
          <w:i w:val="false"/>
          <w:iCs w:val="false"/>
          <w:color w:val="1F3864"/>
          <w:sz w:val="22"/>
          <w:szCs w:val="22"/>
        </w:rPr>
        <w:t xml:space="preserve">QB-61　【委員長】　事業所への照会をやめると、交付金で不利にならないか</w:t>
      </w:r>
      <w:r>
        <w:rPr>
          <w:rFonts w:ascii="游ゴシック" w:cs="游ゴシック" w:eastAsia="游ゴシック" w:hAnsi="游ゴシック"/>
          <w:b w:val="false"/>
          <w:bCs w:val="false"/>
          <w:i/>
          <w:iCs/>
          <w:color w:val="595959"/>
          <w:sz w:val="18"/>
          <w:szCs w:val="18"/>
        </w:rPr>
        <w:t xml:space="preserve"/>
      </w:r>
      <w:r>
        <w:rPr>
          <w:rFonts w:ascii="游ゴシック" w:cs="游ゴシック" w:eastAsia="游ゴシック" w:hAnsi="游ゴシック"/>
          <w:b/>
          <w:bCs/>
          <w:i w:val="false"/>
          <w:iCs w:val="false"/>
          <w:color w:val="000000"/>
          <w:sz w:val="22"/>
          <w:szCs w:val="22"/>
        </w:rPr>
        <w:t xml:space="preserve"/>
      </w:r>
    </w:p>
    <w:p>
      <w:pPr>
        <w:spacing w:after="0" w:before="0"/>
      </w:pPr>
      <w:r>
        <w:rPr>
          <w:rFonts w:ascii="游ゴシック" w:cs="游ゴシック" w:eastAsia="游ゴシック" w:hAnsi="游ゴシック"/>
          <w:b/>
          <w:bCs/>
          <w:i w:val="false"/>
          <w:iCs w:val="false"/>
          <w:color w:val="C00000"/>
          <w:sz w:val="22"/>
          <w:szCs w:val="22"/>
        </w:rPr>
        <w:t xml:space="preserve">A．なりません。令和8年度の市町村分の評価指標（全42頁）には「事業所ヒアリング」という語がありません。評価指標ではないためです。⚠ 目標Ⅲ(ⅰ)1の枝番ア「地域における介護人材の現状や課題を把握し、これを都道府県や関係団体と共有している」の留意点には、「都道府県が介護人材の現状や課題を整理し、これを市町村に共有している場合も評価の対象とする」と明記されています。把握の方法は照会でなくて差し支えありません。なお、計画期間3年目には各種実態調査の実施が重要であると国が示していますので、第10期の3年目には改めて検討する余地があります。</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【根拠データ】 令和8年度 評価指標（市町村分）全42頁を走査し「事業所ヒアリング」0件。目標Ⅲ(ⅰ)1 アの留意点</w:t>
      </w:r>
      <w:r>
        <w:rPr>
          <w:rFonts w:ascii="游ゴシック" w:cs="游ゴシック" w:eastAsia="游ゴシック" w:hAnsi="游ゴシック"/>
          <w:b w:val="false"/>
          <w:bCs w:val="false"/>
          <w:i w:val="false"/>
          <w:iCs w:val="false"/>
          <w:color w:val="000000"/>
          <w:sz w:val="20"/>
          <w:szCs w:val="20"/>
        </w:rPr>
        <w:t xml:space="preserve"/>
      </w:r>
    </w:p>
    <w:p>
      <w:pPr>
        <w:spacing w:after="0" w:before="0"/>
      </w:pPr>
      <w:r>
        <w:rPr>
          <w:rFonts w:ascii="游ゴシック" w:cs="游ゴシック" w:eastAsia="游ゴシック" w:hAnsi="游ゴシック"/>
          <w:b/>
          <w:bCs/>
          <w:i w:val="false"/>
          <w:iCs w:val="false"/>
          <w:color w:val="C00000"/>
          <w:sz w:val="22"/>
          <w:szCs w:val="22"/>
        </w:rPr>
        <w:t xml:space="preserve">【関連資料】 川崎町_事業所ヒアリングを行わない整理_R8.10.20.md、確認事項No.170</w:t>
      </w:r>
      <w:r>
        <w:rPr>
          <w:rFonts w:ascii="游ゴシック" w:cs="游ゴシック" w:eastAsia="游ゴシック" w:hAnsi="游ゴシック"/>
          <w:b w:val="false"/>
          <w:bCs w:val="false"/>
          <w:i w:val="false"/>
          <w:iCs w:val="false"/>
          <w:color w:val="000000"/>
          <w:sz w:val="20"/>
          <w:szCs w:val="20"/>
        </w:rPr>
        <w:t xml:space="preserve"/>
      </w:r>
    </w:p>
    <w:p>
      <w:pPr>
        <w:pBdr>
          <w:bottom w:val="single" w:color="1F3864" w:sz="18"/>
        </w:pBdr>
        <w:spacing w:after="240" w:before="240" w:line="320"/>
        <w:jc w:val="center"/>
      </w:pPr>
      <w:r>
        <w:rPr>
          <w:rFonts w:ascii="游ゴシック" w:cs="游ゴシック" w:eastAsia="游ゴシック" w:hAnsi="游ゴシック"/>
          <w:b/>
          <w:bCs/>
          <w:i w:val="false"/>
          <w:iCs w:val="false"/>
          <w:color w:val="1F3864"/>
          <w:sz w:val="28"/>
          <w:szCs w:val="28"/>
        </w:rPr>
        <w:t xml:space="preserve">補遺：質問への対応原則</w:t>
      </w:r>
    </w:p>
    <w:p>
      <w:pPr>
        <w:spacing w:after="80" w:before="50" w:line="320"/>
        <w:ind w:firstLine="200"/>
        <w:jc w:val="left"/>
      </w:pPr>
      <w:r>
        <w:rPr>
          <w:rFonts w:ascii="游ゴシック" w:cs="游ゴシック" w:eastAsia="游ゴシック" w:hAnsi="游ゴシック"/>
          <w:b w:val="false"/>
          <w:bCs w:val="false"/>
          <w:i w:val="false"/>
          <w:iCs w:val="false"/>
          <w:color w:val="000000"/>
          <w:sz w:val="21"/>
          <w:szCs w:val="21"/>
        </w:rPr>
        <w:t xml:space="preserve">想定外の質問・反対意見が出た場合の対応原則を以下に整理します。</w:t>
      </w:r>
    </w:p>
    <w:p>
      <w:pPr>
        <w:pBdr>
          <w:bottom w:val="single" w:color="1F3864" w:sz="4"/>
        </w:pBdr>
        <w:shd w:fill="DAE3F3" w:val="solid"/>
        <w:spacing w:after="100" w:before="200" w:line="300"/>
      </w:pPr>
      <w:r>
        <w:rPr>
          <w:rFonts w:ascii="游ゴシック" w:cs="游ゴシック" w:eastAsia="游ゴシック" w:hAnsi="游ゴシック"/>
          <w:b/>
          <w:bCs/>
          <w:i w:val="false"/>
          <w:iCs w:val="false"/>
          <w:color w:val="1F3864"/>
          <w:sz w:val="22"/>
          <w:szCs w:val="22"/>
        </w:rPr>
        <w:t xml:space="preserve">　▌ 想定外質問への対応</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即答困難な質問は無理に回答せず、「お持ち帰り検討」とし、第3回委員会で書面回答する旨を委員に伝える。</w:t>
      </w:r>
      <w:r>
        <w:rPr>
          <w:rFonts w:ascii="游ゴシック" w:cs="游ゴシック" w:eastAsia="游ゴシック" w:hAnsi="游ゴシック"/>
          <w:b w:val="false"/>
          <w:bCs w:val="false"/>
          <w:i w:val="false"/>
          <w:iCs w:val="false"/>
          <w:color w:val="000000"/>
          <w:sz w:val="20"/>
          <w:szCs w:val="20"/>
        </w:rPr>
        <w:t xml:space="preserve"/>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数値データが手元にない場合は「町担当課に確認の上、回答する」と返答する。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政策判断に関する質問（特に町長・議会判断事項）は「町としての検討事項」とし、断定的な回答は避ける。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w:t>
      </w:r>
      <w:r>
        <w:rPr>
          <w:rFonts w:ascii="游ゴシック" w:cs="游ゴシック" w:eastAsia="游ゴシック" w:hAnsi="游ゴシック"/>
          <w:b w:val="false"/>
          <w:bCs w:val="false"/>
          <w:i w:val="false"/>
          <w:iCs w:val="false"/>
          <w:color w:val="000000"/>
          <w:sz w:val="20"/>
          <w:szCs w:val="20"/>
        </w:rPr>
        <w:t xml:space="preserve">他自治体との比較を求められた場合は、見える化システム等の公式データを参照することを明示する。</w:t>
      </w:r>
    </w:p>
    <w:p>
      <w:pPr>
        <w:pBdr>
          <w:bottom w:val="single" w:color="ED7D31" w:sz="4"/>
        </w:pBdr>
        <w:shd w:fill="FCE4D6" w:val="solid"/>
        <w:spacing w:after="100" w:before="240" w:line="300"/>
      </w:pPr>
      <w:r>
        <w:rPr>
          <w:rFonts w:ascii="游ゴシック" w:cs="游ゴシック" w:eastAsia="游ゴシック" w:hAnsi="游ゴシック"/>
          <w:b/>
          <w:bCs/>
          <w:i w:val="false"/>
          <w:iCs w:val="false"/>
          <w:color w:val="ED7D31"/>
          <w:sz w:val="22"/>
          <w:szCs w:val="22"/>
        </w:rPr>
        <w:t xml:space="preserve">　▌ 反対意見への対応</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w:t>
      </w:r>
      <w:r>
        <w:rPr>
          <w:rFonts w:ascii="游ゴシック" w:cs="游ゴシック" w:eastAsia="游ゴシック" w:hAnsi="游ゴシック"/>
          <w:b w:val="false"/>
          <w:bCs w:val="false"/>
          <w:i w:val="false"/>
          <w:iCs w:val="false"/>
          <w:color w:val="000000"/>
          <w:sz w:val="20"/>
          <w:szCs w:val="20"/>
        </w:rPr>
        <w:t xml:space="preserve">委員の意見は基本的に「ご意見」として受け止め、計画素案への反映可否を後日検討する形にする。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賛否が分かれる事項（選択1〜5）は、複数意見を併記し、第3回委員会で再協議する。</w:t>
      </w:r>
      <w:r>
        <w:rPr>
          <w:rFonts w:ascii="游ゴシック" w:cs="游ゴシック" w:eastAsia="游ゴシック" w:hAnsi="游ゴシック"/>
          <w:b w:val="false"/>
          <w:bCs w:val="false"/>
          <w:i w:val="false"/>
          <w:iCs w:val="false"/>
          <w:color w:val="000000"/>
          <w:sz w:val="20"/>
          <w:szCs w:val="20"/>
        </w:rPr>
        <w:t xml:space="preserve"/>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町方針と異なる意見でも、頭から否定せず「ご指摘の観点も踏まえて検討します」と受け止める。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w:t>
      </w:r>
      <w:r>
        <w:rPr>
          <w:rFonts w:ascii="游ゴシック" w:cs="游ゴシック" w:eastAsia="游ゴシック" w:hAnsi="游ゴシック"/>
          <w:b w:val="false"/>
          <w:bCs w:val="false"/>
          <w:i w:val="false"/>
          <w:iCs w:val="false"/>
          <w:color w:val="000000"/>
          <w:sz w:val="20"/>
          <w:szCs w:val="20"/>
        </w:rPr>
        <w:t xml:space="preserve">感情的な意見・住民個人の不満に対しては、傾聴の姿勢を保ち、個別相談として後日対応する。</w:t>
      </w:r>
    </w:p>
    <w:p>
      <w:pPr>
        <w:pBdr>
          <w:bottom w:val="single" w:color="548235" w:sz="4"/>
        </w:pBdr>
        <w:shd w:fill="E2EFDA" w:val="solid"/>
        <w:spacing w:after="100" w:before="240" w:line="300"/>
      </w:pPr>
      <w:r>
        <w:rPr>
          <w:rFonts w:ascii="游ゴシック" w:cs="游ゴシック" w:eastAsia="游ゴシック" w:hAnsi="游ゴシック"/>
          <w:b/>
          <w:bCs/>
          <w:i w:val="false"/>
          <w:iCs w:val="false"/>
          <w:color w:val="548235"/>
          <w:sz w:val="22"/>
          <w:szCs w:val="22"/>
        </w:rPr>
        <w:t xml:space="preserve">　▌ 委員会運営のコツ</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①　ご選択いただきたい事項（5件）は時間を意識して進行する。1件あたり8〜10分が目安。選択5は方向性のみ伺う。</w:t>
      </w:r>
      <w:r>
        <w:rPr>
          <w:rFonts w:ascii="游ゴシック" w:cs="游ゴシック" w:eastAsia="游ゴシック" w:hAnsi="游ゴシック"/>
          <w:b w:val="false"/>
          <w:bCs w:val="false"/>
          <w:i w:val="false"/>
          <w:iCs w:val="false"/>
          <w:color w:val="000000"/>
          <w:sz w:val="20"/>
          <w:szCs w:val="20"/>
        </w:rPr>
        <w:t xml:space="preserve"/>
      </w:r>
    </w:p>
    <w:p>
      <w:pPr>
        <w:spacing w:after="40" w:before="40" w:line="300"/>
        <w:ind w:left="431"/>
      </w:pPr>
      <w:r>
        <w:rPr>
          <w:rFonts w:ascii="游ゴシック" w:cs="游ゴシック" w:eastAsia="游ゴシック" w:hAnsi="游ゴシック"/>
          <w:b/>
          <w:bCs/>
          <w:i w:val="false"/>
          <w:iCs w:val="false"/>
          <w:color w:val="000000"/>
          <w:sz w:val="20"/>
          <w:szCs w:val="20"/>
        </w:rPr>
        <w:t xml:space="preserve">②　</w:t>
      </w:r>
      <w:r>
        <w:rPr>
          <w:rFonts w:ascii="游ゴシック" w:cs="游ゴシック" w:eastAsia="游ゴシック" w:hAnsi="游ゴシック"/>
          <w:b w:val="false"/>
          <w:bCs w:val="false"/>
          <w:i w:val="false"/>
          <w:iCs w:val="false"/>
          <w:color w:val="000000"/>
          <w:sz w:val="20"/>
          <w:szCs w:val="20"/>
        </w:rPr>
        <w:t xml:space="preserve">発言の少ない委員には事務局から指名・呼び水的な質問で発言を促す。</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③　</w:t>
      </w:r>
      <w:r>
        <w:rPr>
          <w:rFonts w:ascii="游ゴシック" w:cs="游ゴシック" w:eastAsia="游ゴシック" w:hAnsi="游ゴシック"/>
          <w:b w:val="false"/>
          <w:bCs w:val="false"/>
          <w:i w:val="false"/>
          <w:iCs w:val="false"/>
          <w:color w:val="000000"/>
          <w:sz w:val="20"/>
          <w:szCs w:val="20"/>
        </w:rPr>
        <w:t xml:space="preserve">次回までの宿題（書面回答・追加検討）は最後にまとめて確認する。</w:t>
      </w:r>
    </w:p>
    <w:p>
      <w:pPr>
        <w:spacing w:after="40" w:before="40" w:line="300"/>
        <w:ind w:left="431"/>
      </w:pPr>
      <w:r>
        <w:rPr>
          <w:rFonts w:ascii="游ゴシック" w:cs="游ゴシック" w:eastAsia="游ゴシック" w:hAnsi="游ゴシック"/>
          <w:b/>
          <w:bCs/>
          <w:i w:val="false"/>
          <w:iCs w:val="false"/>
          <w:color w:val="000000"/>
          <w:sz w:val="20"/>
          <w:szCs w:val="20"/>
        </w:rPr>
        <w:t xml:space="preserve">④　</w:t>
      </w:r>
      <w:r>
        <w:rPr>
          <w:rFonts w:ascii="游ゴシック" w:cs="游ゴシック" w:eastAsia="游ゴシック" w:hAnsi="游ゴシック"/>
          <w:b w:val="false"/>
          <w:bCs w:val="false"/>
          <w:i w:val="false"/>
          <w:iCs w:val="false"/>
          <w:color w:val="000000"/>
          <w:sz w:val="20"/>
          <w:szCs w:val="20"/>
        </w:rPr>
        <w:t xml:space="preserve">議事録は要点筆記とし、確定版は委員確認後に町担当課で承認・公表する。</w:t>
      </w:r>
    </w:p>
    <w:p>
      <w:pPr>
        <w:spacing w:after="80" w:before="80"/>
      </w:pPr>
      <w:r>
        <w:rPr>
          <w:rFonts w:ascii="游ゴシック" w:cs="游ゴシック" w:eastAsia="游ゴシック" w:hAnsi="游ゴシック"/>
          <w:b w:val="false"/>
          <w:bCs w:val="false"/>
          <w:i w:val="false"/>
          <w:iCs w:val="false"/>
          <w:color w:val="000000"/>
          <w:sz w:val="21"/>
          <w:szCs w:val="21"/>
        </w:rPr>
        <w:t xml:space="preserve"/>
      </w:r>
    </w:p>
    <w:p>
      <w:pPr>
        <w:spacing w:after="80" w:before="80"/>
      </w:pPr>
      <w:r>
        <w:rPr>
          <w:rFonts w:ascii="游ゴシック" w:cs="游ゴシック" w:eastAsia="游ゴシック" w:hAnsi="游ゴシック"/>
          <w:b w:val="false"/>
          <w:bCs w:val="false"/>
          <w:i w:val="false"/>
          <w:iCs w:val="false"/>
          <w:color w:val="000000"/>
          <w:sz w:val="21"/>
          <w:szCs w:val="21"/>
        </w:rPr>
        <w:t xml:space="preserve"/>
      </w:r>
    </w:p>
    <w:p>
      <w:pPr>
        <w:pBdr>
          <w:top w:val="double" w:color="1F3864" w:sz="18"/>
          <w:bottom w:val="double" w:color="1F3864" w:sz="18"/>
        </w:pBdr>
        <w:shd w:fill="DAE3F3" w:val="solid"/>
        <w:spacing w:after="240" w:before="480"/>
        <w:jc w:val="center"/>
      </w:pPr>
      <w:r>
        <w:rPr>
          <w:rFonts w:ascii="游ゴシック" w:cs="游ゴシック" w:eastAsia="游ゴシック" w:hAnsi="游ゴシック"/>
          <w:b/>
          <w:bCs/>
          <w:i w:val="false"/>
          <w:iCs w:val="false"/>
          <w:color w:val="1F3864"/>
          <w:sz w:val="22"/>
          <w:szCs w:val="22"/>
        </w:rPr>
        <w:t xml:space="preserve">本想定問答集の運用：委員会開始前に町担当・事務局で15分程度の打合せをし、想定問答の流れを確認することを推奨します。保険料（カテゴリE）は住民負担に直結するため、回答の言い回しを事前にそろえておくことをお勧めします。</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6"/>
        <w:szCs w:val="16"/>
      </w:rPr>
      <w:t xml:space="preserve">─ </w:t>
    </w:r>
    <w:r>
      <w:rPr>
        <w:rFonts w:ascii="游ゴシック" w:cs="游ゴシック" w:eastAsia="游ゴシック" w:hAnsi="游ゴシック"/>
        <w:color w:val="595959"/>
        <w:sz w:val="16"/>
        <w:szCs w:val="16"/>
      </w:rPr>
      <w:fldChar w:fldCharType="begin"/>
      <w:instrText xml:space="preserve">PAGE</w:instrText>
      <w:fldChar w:fldCharType="separate"/>
      <w:fldChar w:fldCharType="end"/>
    </w:r>
    <w:r>
      <w:rPr>
        <w:rFonts w:ascii="游ゴシック" w:cs="游ゴシック" w:eastAsia="游ゴシック" w:hAnsi="游ゴシック"/>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595959"/>
        <w:sz w:val="16"/>
        <w:szCs w:val="16"/>
      </w:rPr>
      <w:t xml:space="preserve">川崎町第10期介護保険事業計画 第1回策定委員会 想定問答集（事務局用）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 第1回策定委員会 想定問答集</dc:title>
  <dc:creator>ビズアップ公共コンサルティング株式会社</dc:creator>
  <dc:description>事務局・町担当向け想定問答集</dc:description>
  <cp:lastModifiedBy>Un-named</cp:lastModifiedBy>
  <cp:revision>1</cp:revision>
  <dcterms:created xsi:type="dcterms:W3CDTF">2026-06-29T03:16:05.163Z</dcterms:created>
  <dcterms:modified xsi:type="dcterms:W3CDTF">2026-06-29T03:16:05.164Z</dcterms:modified>
</cp:coreProperties>
</file>

<file path=docProps/custom.xml><?xml version="1.0" encoding="utf-8"?>
<Properties xmlns="http://schemas.openxmlformats.org/officeDocument/2006/custom-properties" xmlns:vt="http://schemas.openxmlformats.org/officeDocument/2006/docPropsVTypes"/>
</file>