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63件になりました。一度にお送りするとご負担が大きく、お急ぎでないものに引きずられて急ぐものの回答が遅れます。このため、回答がいつ必要かによって５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５通の構成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8件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16件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5件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委員会に出す資料に直に要るもの（8件）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サービスの見込量を確定するために要るもの（9件）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２項第２号にもございますが、本計画が見込むのは障害者総合支援法による事業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第5章7（4）の村単独事業の記述を数値で裏づける。通院の負担は移動支援の論点（M-45・M-46）にもつながる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対象に含まれることが分かったため、次は実績である。M-55と同じ便で尋ねる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既にある施策の実績（16件）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会津北部４町村及び県との広域整合（5件）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