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ゴシック" w:cs="游ゴシック" w:eastAsia="游ゴシック" w:hAnsi="游ゴシック"/>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ゴシック" w:cs="游ゴシック" w:eastAsia="游ゴシック" w:hAnsi="游ゴシック"/>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pPr>
      <w:r>
        <w:rPr>
          <w:rFonts w:ascii="游ゴシック" w:cs="游ゴシック" w:eastAsia="游ゴシック" w:hAnsi="游ゴシック"/>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ゴシック" w:cs="游ゴシック" w:eastAsia="游ゴシック" w:hAnsi="游ゴシック"/>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pPr>
      <w:r>
        <w:rPr>
          <w:rFonts w:ascii="游ゴシック" w:cs="游ゴシック" w:eastAsia="游ゴシック" w:hAnsi="游ゴシック"/>
          <w:sz w:val="21"/>
          <w:szCs w:val="21"/>
        </w:rPr>
        <w:t xml:space="preserve">本計画の期間は令和9年度から令和11年度までの3年間です。あわせて、団塊ジュニア世代が65歳以上となる令和22年度（2040年度）を見据えた中長期的な見通しを示します。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ゴシック" w:cs="游ゴシック" w:eastAsia="游ゴシック" w:hAnsi="游ゴシック"/>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本村は該当する見込みです（本節3）。施策3-1から3-4および5-4の見込量に関わります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本村はいずれも利用実績がありません。5-4(2)の区分を国の様式の確定後に統合します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中長期の見通しは5-11に加えます。入居定員の勘案は、村内に有料老人ホーム・サービス付き高齢者向け住宅がないため、村外施設の利用状況の把握により行います（2-5、4-6）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pPr>
      <w:r>
        <w:rPr>
          <w:rFonts w:ascii="游ゴシック" w:cs="游ゴシック" w:eastAsia="游ゴシック" w:hAnsi="游ゴシック"/>
          <w:b/>
          <w:bCs/>
          <w:color w:val="2E75B6"/>
          <w:sz w:val="22"/>
          <w:szCs w:val="22"/>
        </w:rPr>
        <w:t xml:space="preserve">2　政令・告示等による主な見直し</w:t>
      </w:r>
    </w:p>
    <w:p>
      <w:pPr>
        <w:spacing w:after="120" w:line="300"/>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補足給付（特定入所者介護サービス費）の基準費用額および補足給付の対象の見直し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令和8年8月および令和9年度中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令和9年度の開始前までに結論</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施策4-3（在宅医療・介護連携の推進）に反映します。協力医療機関の3つの要件を満たさない施設の把握が求められますが、村内の入所施設は認知症対応型共同生活介護1施設のみです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本村は中山間・人口減少地域に当たる見込みです（本節3）</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pPr>
      <w:r>
        <w:rPr>
          <w:rFonts w:ascii="游ゴシック" w:cs="游ゴシック" w:eastAsia="游ゴシック" w:hAnsi="游ゴシック"/>
          <w:b/>
          <w:bCs/>
          <w:color w:val="2E75B6"/>
          <w:sz w:val="22"/>
          <w:szCs w:val="22"/>
        </w:rPr>
        <w:t xml:space="preserve">3　中山間・人口減少地域（特定地域）への該当</w:t>
      </w:r>
    </w:p>
    <w:p>
      <w:pPr>
        <w:spacing w:after="120" w:line="300"/>
      </w:pPr>
      <w:r>
        <w:rPr>
          <w:rFonts w:ascii="游ゴシック" w:cs="游ゴシック" w:eastAsia="游ゴシック" w:hAnsi="游ゴシック"/>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したがって面積の確定値を待たずに、本村は基準②の密度要件に該当すると判断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の該当は本村にとって重要です。村内で提供されている介護サービスは認知症対応型共同生活介護と通所介護の2種類にとどまり（2-5）、多くを村外の事業所で利用しています。特定地域サービスは人員配置基準を弾力化するものであり、特定地域居宅サービス等事業は、指定サービスを前提とした基盤の維持が困難な地域において、村が事業としてサービスを提供することを可能とするものです。いずれも、事業所がないことを前提に組み立ててきた本村の施策に新たな選択肢を与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ゴシック" w:cs="游ゴシック" w:eastAsia="游ゴシック" w:hAnsi="游ゴシック"/>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keepNext/>
        <w:keepLines/>
        <w:spacing w:after="100" w:line="300"/>
      </w:pPr>
      <w:r>
        <w:rPr>
          <w:rFonts w:ascii="游ゴシック" w:cs="游ゴシック" w:eastAsia="游ゴシック" w:hAnsi="游ゴシック"/>
          <w:b/>
          <w:bCs/>
          <w:color w:val="2E75B6"/>
          <w:sz w:val="22"/>
          <w:szCs w:val="22"/>
        </w:rPr>
        <w:t xml:space="preserve">第1号被保険者数の推計</w:t>
      </w:r>
    </w:p>
    <w:p>
      <w:pPr>
        <w:spacing w:after="120" w:line="300"/>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出典：厚生労働省配布「第10期将来推計用推計人口」を基礎に作成　単位：人</w:t>
      </w:r>
    </w:p>
    <w:p>
      <w:pPr>
        <w:spacing w:after="120" w:line="300"/>
      </w:pPr>
      <w:r>
        <w:rPr>
          <w:rFonts w:ascii="游ゴシック" w:cs="游ゴシック" w:eastAsia="游ゴシック" w:hAnsi="游ゴシック"/>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pPr>
      <w:r>
        <w:rPr>
          <w:rFonts w:ascii="游ゴシック" w:cs="游ゴシック" w:eastAsia="游ゴシック" w:hAnsi="游ゴシック"/>
          <w:b/>
          <w:bCs/>
          <w:color w:val="2E75B6"/>
          <w:sz w:val="22"/>
          <w:szCs w:val="22"/>
        </w:rPr>
        <w:t xml:space="preserve">要介護度別の状況</w:t>
      </w:r>
    </w:p>
    <w:p>
      <w:pPr>
        <w:spacing w:after="120" w:line="300"/>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pPr>
      <w:r>
        <w:rPr>
          <w:rFonts w:ascii="游ゴシック" w:cs="游ゴシック" w:eastAsia="游ゴシック" w:hAnsi="游ゴシック"/>
          <w:b/>
          <w:bCs/>
          <w:color w:val="2E75B6"/>
          <w:sz w:val="22"/>
          <w:szCs w:val="22"/>
        </w:rPr>
        <w:t xml:space="preserve">性・年齢調整済み認定率</w:t>
      </w:r>
    </w:p>
    <w:p>
      <w:pPr>
        <w:spacing w:after="120" w:line="300"/>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　出典：地域包括ケア「見える化」システム</w:t>
      </w:r>
    </w:p>
    <w:p>
      <w:pPr>
        <w:spacing w:after="120" w:line="300"/>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pPr>
      <w:r>
        <w:rPr>
          <w:rFonts w:ascii="游ゴシック" w:cs="游ゴシック" w:eastAsia="游ゴシック" w:hAnsi="游ゴシック"/>
          <w:b/>
          <w:bCs/>
          <w:color w:val="2E75B6"/>
          <w:sz w:val="22"/>
          <w:szCs w:val="22"/>
        </w:rPr>
        <w:t xml:space="preserve">認知症高齢者の状況</w:t>
      </w:r>
    </w:p>
    <w:p>
      <w:pPr>
        <w:spacing w:after="120" w:line="300"/>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591"/>
        <w:gridCol w:w="1591"/>
        <w:gridCol w:w="1591"/>
        <w:gridCol w:w="1591"/>
        <w:gridCol w:w="1498"/>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令和6年10月末</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pPr>
      <w:r>
        <w:rPr>
          <w:rFonts w:ascii="游ゴシック" w:cs="游ゴシック" w:eastAsia="游ゴシック" w:hAnsi="游ゴシック"/>
          <w:b/>
          <w:bCs/>
          <w:color w:val="2E75B6"/>
          <w:sz w:val="22"/>
          <w:szCs w:val="22"/>
        </w:rPr>
        <w:t xml:space="preserve">★サービス区分別に見た変化</w:t>
      </w:r>
    </w:p>
    <w:p>
      <w:pPr>
        <w:spacing w:after="120" w:line="300"/>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pPr>
      <w:r>
        <w:rPr>
          <w:rFonts w:ascii="游ゴシック" w:cs="游ゴシック" w:eastAsia="游ゴシック" w:hAnsi="游ゴシック"/>
          <w:b/>
          <w:bCs/>
          <w:color w:val="2E75B6"/>
          <w:sz w:val="22"/>
          <w:szCs w:val="22"/>
        </w:rPr>
        <w:t xml:space="preserve">村内に所在する事業所の数</w:t>
      </w:r>
    </w:p>
    <w:p>
      <w:pPr>
        <w:spacing w:after="120" w:line="300"/>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pPr>
      <w:r>
        <w:rPr>
          <w:rFonts w:ascii="游ゴシック" w:cs="游ゴシック" w:eastAsia="游ゴシック" w:hAnsi="游ゴシック"/>
          <w:b/>
          <w:bCs/>
          <w:color w:val="2E75B6"/>
          <w:sz w:val="22"/>
          <w:szCs w:val="22"/>
        </w:rPr>
        <w:t xml:space="preserve">事業所数からみた供給体制の位置</w:t>
      </w:r>
    </w:p>
    <w:p>
      <w:pPr>
        <w:spacing w:after="120" w:line="300"/>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pPr>
      <w:r>
        <w:rPr>
          <w:rFonts w:ascii="游ゴシック" w:cs="游ゴシック" w:eastAsia="游ゴシック" w:hAnsi="游ゴシック"/>
          <w:b/>
          <w:bCs/>
          <w:color w:val="2E75B6"/>
          <w:sz w:val="22"/>
          <w:szCs w:val="22"/>
        </w:rPr>
        <w:t xml:space="preserve">村外サービスの利用状況</w:t>
      </w:r>
    </w:p>
    <w:p>
      <w:pPr>
        <w:spacing w:after="120" w:line="300"/>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7年度に25.0人／月で村内定員27人の92.6%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pPr>
      <w:r>
        <w:rPr>
          <w:rFonts w:ascii="游ゴシック" w:cs="游ゴシック" w:eastAsia="游ゴシック" w:hAnsi="游ゴシック"/>
          <w:b/>
          <w:bCs/>
          <w:color w:val="2E75B6"/>
          <w:sz w:val="22"/>
          <w:szCs w:val="22"/>
        </w:rPr>
        <w:t xml:space="preserve">地域包括支援センター</w:t>
      </w:r>
    </w:p>
    <w:p>
      <w:pPr>
        <w:spacing w:after="120" w:line="300"/>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pPr>
      <w:r>
        <w:rPr>
          <w:rFonts w:ascii="游ゴシック" w:cs="游ゴシック" w:eastAsia="游ゴシック" w:hAnsi="游ゴシック"/>
          <w:sz w:val="21"/>
          <w:szCs w:val="21"/>
        </w:rPr>
        <w:t xml:space="preserve">3年間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pPr>
      <w:r>
        <w:rPr>
          <w:rFonts w:ascii="游ゴシック" w:cs="游ゴシック" w:eastAsia="游ゴシック" w:hAnsi="游ゴシック"/>
          <w:b/>
          <w:bCs/>
          <w:color w:val="2E75B6"/>
          <w:sz w:val="22"/>
          <w:szCs w:val="22"/>
        </w:rPr>
        <w:t xml:space="preserve">得点が伸びた項目</w:t>
      </w:r>
    </w:p>
    <w:p>
      <w:pPr>
        <w:spacing w:after="120" w:line="300"/>
      </w:pPr>
      <w:r>
        <w:rPr>
          <w:rFonts w:ascii="游ゴシック" w:cs="游ゴシック" w:eastAsia="游ゴシック" w:hAnsi="游ゴシック"/>
          <w:sz w:val="21"/>
          <w:szCs w:val="21"/>
        </w:rPr>
        <w:t xml:space="preserve">3年間で152点増えた内訳を見ると、伸びは特定の領域に集中しています。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pPr>
      <w:r>
        <w:rPr>
          <w:rFonts w:ascii="游ゴシック" w:cs="游ゴシック" w:eastAsia="游ゴシック" w:hAnsi="游ゴシック"/>
          <w:b/>
          <w:bCs/>
          <w:color w:val="2E75B6"/>
          <w:sz w:val="22"/>
          <w:szCs w:val="22"/>
        </w:rPr>
        <w:t xml:space="preserve">指標群別にみると</w:t>
      </w:r>
    </w:p>
    <w:p>
      <w:pPr>
        <w:spacing w:after="120" w:line="300"/>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pPr>
      <w:r>
        <w:rPr>
          <w:rFonts w:ascii="游ゴシック" w:cs="游ゴシック" w:eastAsia="游ゴシック" w:hAnsi="游ゴシック"/>
          <w:b/>
          <w:bCs/>
          <w:color w:val="2E75B6"/>
          <w:sz w:val="22"/>
          <w:szCs w:val="22"/>
        </w:rPr>
        <w:t xml:space="preserve">3か年の推移の全体像</w:t>
      </w:r>
    </w:p>
    <w:p>
      <w:pPr>
        <w:spacing w:after="120" w:line="300"/>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pPr>
      <w:r>
        <w:rPr>
          <w:rFonts w:ascii="游ゴシック" w:cs="游ゴシック" w:eastAsia="游ゴシック" w:hAnsi="游ゴシック"/>
          <w:sz w:val="21"/>
          <w:szCs w:val="21"/>
        </w:rPr>
        <w:t xml:space="preserve">満点を3年間維持しているのは50項目146点です。配点の大きいものは給付費適正化方策の策定（ア・イ各8点）と在宅医療・介護連携（支援目標Ⅲの9項目32点）で、本村の強みにあたります。</w:t>
      </w:r>
    </w:p>
    <w:p>
      <w:pPr>
        <w:keepNext/>
        <w:keepLines/>
        <w:spacing w:after="100" w:line="300"/>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pPr>
      <w:r>
        <w:rPr>
          <w:rFonts w:ascii="游ゴシック" w:cs="游ゴシック" w:eastAsia="游ゴシック" w:hAnsi="游ゴシック"/>
          <w:sz w:val="21"/>
          <w:szCs w:val="21"/>
        </w:rPr>
        <w:t xml:space="preserve">悪化した23項目115点の内訳を分けると、20項目100点は成果指標群（要介護度の変化・健康寿命）です。これらは国の統計から自動的に算定されるため、村の取組の後退を示すものではありません。村の取組として後退したのは次の3項目15点に限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項目とも令和6年度・令和7年度は取得しており、全国の65〜86%が取得している項目です。取組が止まったのか、国への該当状況調査票の記載によるものかを確認する必要があります。取組が止まったのであれば、令和9年度の評価で取り戻せます。</w:t>
      </w:r>
    </w:p>
    <w:p>
      <w:pPr>
        <w:keepNext/>
        <w:keepLines/>
        <w:spacing w:after="100" w:line="300"/>
      </w:pPr>
      <w:r>
        <w:rPr>
          <w:rFonts w:ascii="游ゴシック" w:cs="游ゴシック" w:eastAsia="游ゴシック" w:hAnsi="游ゴシック"/>
          <w:b/>
          <w:bCs/>
          <w:color w:val="2E75B6"/>
          <w:sz w:val="22"/>
          <w:szCs w:val="22"/>
        </w:rPr>
        <w:t xml:space="preserve">目標別に全国平均と比べると</w:t>
      </w:r>
    </w:p>
    <w:p>
      <w:pPr>
        <w:spacing w:after="120" w:line="300"/>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pPr>
      <w:r>
        <w:rPr>
          <w:rFonts w:ascii="游ゴシック" w:cs="游ゴシック" w:eastAsia="游ゴシック" w:hAnsi="游ゴシック"/>
          <w:b/>
          <w:bCs/>
          <w:color w:val="2E75B6"/>
          <w:sz w:val="22"/>
          <w:szCs w:val="22"/>
        </w:rPr>
        <w:t xml:space="preserve">残された課題は2点です</w:t>
      </w:r>
    </w:p>
    <w:p>
      <w:pPr>
        <w:spacing w:after="120" w:line="300"/>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成果指標（アウトカム）の状況</w:t>
      </w:r>
    </w:p>
    <w:p>
      <w:pPr>
        <w:spacing w:after="120" w:line="300"/>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pPr>
      <w:r>
        <w:rPr>
          <w:rFonts w:ascii="游ゴシック" w:cs="游ゴシック" w:eastAsia="游ゴシック" w:hAnsi="游ゴシック"/>
          <w:b/>
          <w:bCs/>
          <w:color w:val="2E75B6"/>
          <w:sz w:val="22"/>
          <w:szCs w:val="22"/>
        </w:rPr>
        <w:t xml:space="preserve">検証から得られた課題</w:t>
      </w:r>
    </w:p>
    <w:p>
      <w:pPr>
        <w:spacing w:after="120" w:line="300"/>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pPr>
      <w:r>
        <w:rPr>
          <w:rFonts w:ascii="游ゴシック" w:cs="游ゴシック" w:eastAsia="游ゴシック" w:hAnsi="游ゴシック"/>
          <w:sz w:val="21"/>
          <w:szCs w:val="21"/>
        </w:rPr>
        <w:t xml:space="preserve">これまでの分析から、本村の課題は次の5点に整理されます。</w:t>
      </w:r>
    </w:p>
    <w:p>
      <w:pPr>
        <w:keepNext/>
        <w:keepLines/>
        <w:spacing w:after="100" w:line="300"/>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pPr>
      <w:r>
        <w:rPr>
          <w:rFonts w:ascii="游ゴシック" w:cs="游ゴシック" w:eastAsia="游ゴシック" w:hAnsi="游ゴシック"/>
          <w:b/>
          <w:bCs/>
          <w:color w:val="2E75B6"/>
          <w:sz w:val="22"/>
          <w:szCs w:val="22"/>
        </w:rPr>
        <w:t xml:space="preserve">重点1　軽度の方の重度化を防ぎます</w:t>
      </w:r>
    </w:p>
    <w:p>
      <w:pPr>
        <w:spacing w:after="120" w:line="300"/>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いずれも実績なし）。多様なサービスの創設を検討するとともに、通いの場は開催の頻度を高め、一般介護予防事業を拡充します。（課題2に対応）</w:t>
      </w:r>
    </w:p>
    <w:p>
      <w:pPr>
        <w:keepNext/>
        <w:keepLines/>
        <w:spacing w:after="100" w:line="300"/>
      </w:pPr>
      <w:r>
        <w:rPr>
          <w:rFonts w:ascii="游ゴシック" w:cs="游ゴシック" w:eastAsia="游ゴシック" w:hAnsi="游ゴシック"/>
          <w:b/>
          <w:bCs/>
          <w:color w:val="2E75B6"/>
          <w:sz w:val="22"/>
          <w:szCs w:val="22"/>
        </w:rPr>
        <w:t xml:space="preserve">重点2　後期高齢者の増加に備えます</w:t>
      </w:r>
    </w:p>
    <w:p>
      <w:pPr>
        <w:spacing w:after="120" w:line="300"/>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pPr>
      <w:r>
        <w:rPr>
          <w:rFonts w:ascii="游ゴシック" w:cs="游ゴシック" w:eastAsia="游ゴシック" w:hAnsi="游ゴシック"/>
          <w:b/>
          <w:bCs/>
          <w:color w:val="2E75B6"/>
          <w:sz w:val="22"/>
          <w:szCs w:val="22"/>
        </w:rPr>
        <w:t xml:space="preserve">重点3　冬期の生活と移動を支えます</w:t>
      </w:r>
    </w:p>
    <w:p>
      <w:pPr>
        <w:spacing w:after="120" w:line="300"/>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10施策あり、その過半は基本目標1（介護予防）と基本目標5（計画の推進と進捗管理）に置いています。</w:t>
      </w:r>
    </w:p>
    <w:p>
      <w:pPr>
        <w:spacing w:after="120" w:line="300"/>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2808"/>
        <w:gridCol w:w="1310"/>
        <w:gridCol w:w="1311"/>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主な根拠</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交付金の目標</w:t>
            </w:r>
          </w:p>
        </w:tc>
        <w:tc>
          <w:tcPr>
            <w:tcW w:type="dxa" w:w="13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SDGs</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 一般介護予防事業の拡充</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介保法115条の45第1項第3号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 地域支え合い活動の促進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 介護給付の適正化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 地域ケア会議の充実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介保法115条の48（会議）</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 在宅医療・介護連携の推進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 生活支援体制の整備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介保法122条の2（交付金）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はつらつリハビリ教室、シニア元気アップ教室、住民主体の通いの場であるいきいき百歳体操などを実施しています。令和6年度の通いの場は23か所・参加者281人で、65歳以上人口に対する参加率は27.8%です。このうち週1回以上開催しているのは8か所・123人で、参加率は12.2%にとどまります。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pPr>
      <w:r>
        <w:rPr>
          <w:rFonts w:ascii="游ゴシック" w:cs="游ゴシック" w:eastAsia="游ゴシック" w:hAnsi="游ゴシック"/>
          <w:sz w:val="20"/>
          <w:szCs w:val="20"/>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高齢者の移動に関する課題を体系的に把握します。認知症の方の移動のための交通手段の確保という観点を加えます（認知症基本法第15条）</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介護予防・生活支援サービス事業による移動支援の創設を検討します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特殊詐欺・消費者被害の防止に向けた啓発を行います。認知症の方が消費生活における被害を受けることを防ぐ観点を加えます（認知症基本法第17条）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生活支援コーディネーターの活動を強化します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pPr>
      <w:r>
        <w:rPr>
          <w:rFonts w:ascii="游ゴシック" w:cs="游ゴシック" w:eastAsia="游ゴシック" w:hAnsi="游ゴシック"/>
          <w:sz w:val="20"/>
          <w:szCs w:val="20"/>
        </w:rPr>
        <w:t xml:space="preserve">除雪の担い手の確保に取り組みます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pPr>
      <w:r>
        <w:rPr>
          <w:rFonts w:ascii="游ゴシック" w:cs="游ゴシック" w:eastAsia="游ゴシック" w:hAnsi="游ゴシック"/>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spacing w:after="120" w:line="300"/>
      </w:pPr>
      <w:r>
        <w:rPr>
          <w:rFonts w:ascii="游ゴシック" w:cs="游ゴシック" w:eastAsia="游ゴシック" w:hAnsi="游ゴシック"/>
          <w:sz w:val="21"/>
          <w:szCs w:val="21"/>
        </w:rPr>
        <w:t xml:space="preserve">見込量は需要により置くことを原則とします（5-4）。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判断が供給の上限になります。施策3-2と施策1-2は、この2つについての村の判断を示すものです。</w:t>
      </w:r>
    </w:p>
    <w:p>
      <w:pPr>
        <w:spacing w:after="120" w:line="300"/>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2種類しかなく、多くを村外の事業所で利用しているため、供給の状況は事業所の都合に左右されます。訪問介護・訪問看護等の担い手の確保が課題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稼働率は93%です。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第9期の在宅介護実態調査では「村内に施設等があれば将来的に入所したい」との回答が48.5%（回収33人中16人）ありました。第9期計画は施設の種類を列挙する記載でしたが、本計画では村外利用を前提とした支援策として位置づけ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は32点／100点で、全国平均51.1点を19.1点下回ります。8つの目標のうち最も差が大きい領域です（2-8）。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keepNext/>
        <w:keepLines/>
        <w:spacing w:after="100" w:line="300"/>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49"/>
        <w:gridCol w:w="1030"/>
        <w:gridCol w:w="749"/>
        <w:gridCol w:w="749"/>
        <w:gridCol w:w="749"/>
        <w:gridCol w:w="3088"/>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1030"/>
        <w:gridCol w:w="749"/>
        <w:gridCol w:w="749"/>
        <w:gridCol w:w="749"/>
        <w:gridCol w:w="2058"/>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該当施策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pPr>
      <w:r>
        <w:rPr>
          <w:rFonts w:ascii="游ゴシック" w:cs="游ゴシック" w:eastAsia="游ゴシック" w:hAnsi="游ゴシック"/>
          <w:b/>
          <w:bCs/>
          <w:color w:val="2E75B6"/>
          <w:sz w:val="22"/>
          <w:szCs w:val="22"/>
        </w:rPr>
        <w:t xml:space="preserve">(1) 法が市町村に求めていること</w:t>
      </w:r>
    </w:p>
    <w:p>
      <w:pPr>
        <w:spacing w:after="120" w:line="300"/>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(5)(6)のとおり</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pPr>
      <w:r>
        <w:rPr>
          <w:rFonts w:ascii="游ゴシック" w:cs="游ゴシック" w:eastAsia="游ゴシック" w:hAnsi="游ゴシック"/>
          <w:b/>
          <w:bCs/>
          <w:color w:val="2E75B6"/>
          <w:sz w:val="22"/>
          <w:szCs w:val="22"/>
        </w:rPr>
        <w:t xml:space="preserve">(2) 3つの基本的な考え方</w:t>
      </w:r>
    </w:p>
    <w:p>
      <w:pPr>
        <w:spacing w:after="120" w:line="300"/>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w:t>
      </w:r>
    </w:p>
    <w:p>
      <w:pPr>
        <w:spacing w:after="120" w:line="300"/>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pPr>
      <w:r>
        <w:rPr>
          <w:rFonts w:ascii="游ゴシック" w:cs="游ゴシック" w:eastAsia="游ゴシック" w:hAnsi="游ゴシック"/>
          <w:b/>
          <w:bCs/>
          <w:color w:val="2E75B6"/>
          <w:sz w:val="22"/>
          <w:szCs w:val="22"/>
        </w:rPr>
        <w:t xml:space="preserve">(4) 認知症の日および認知症月間</w:t>
      </w:r>
    </w:p>
    <w:p>
      <w:pPr>
        <w:spacing w:after="120" w:line="300"/>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pPr>
      <w:r>
        <w:rPr>
          <w:rFonts w:ascii="游ゴシック" w:cs="游ゴシック" w:eastAsia="游ゴシック" w:hAnsi="游ゴシック"/>
          <w:b/>
          <w:bCs/>
          <w:color w:val="2E75B6"/>
          <w:sz w:val="22"/>
          <w:szCs w:val="22"/>
        </w:rPr>
        <w:t xml:space="preserve">(5) 認知症の人および家族等の参画</w:t>
      </w:r>
    </w:p>
    <w:p>
      <w:pPr>
        <w:spacing w:after="120" w:line="300"/>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変更のつど</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pPr>
      <w:r>
        <w:rPr>
          <w:rFonts w:ascii="游ゴシック" w:cs="游ゴシック" w:eastAsia="游ゴシック" w:hAnsi="游ゴシック"/>
          <w:b/>
          <w:bCs/>
          <w:color w:val="2E75B6"/>
          <w:sz w:val="22"/>
          <w:szCs w:val="22"/>
        </w:rPr>
        <w:t xml:space="preserve">(6) 施策の実施状況の評価と公表</w:t>
      </w:r>
    </w:p>
    <w:p>
      <w:pPr>
        <w:spacing w:after="120" w:line="300"/>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25.0人／月（令和7年度）。稼働率93%</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国の評価指標における認知症総合支援（支援交付金 目標Ⅱ）は32点／100点で、全国平均51.1点を19.1点下回ります。8つの目標のうち最も差が大きい領域です（2-8）。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872"/>
        <w:gridCol w:w="1685"/>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全国平均51.1点以上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pPr>
      <w:r>
        <w:rPr>
          <w:rFonts w:ascii="游ゴシック" w:cs="游ゴシック" w:eastAsia="游ゴシック" w:hAnsi="游ゴシック"/>
          <w:b/>
          <w:bCs/>
          <w:color w:val="2E75B6"/>
          <w:sz w:val="22"/>
          <w:szCs w:val="22"/>
        </w:rPr>
        <w:t xml:space="preserve">用いる人口の系列</w:t>
      </w:r>
    </w:p>
    <w:p>
      <w:pPr>
        <w:spacing w:after="120" w:line="300"/>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keepNext/>
        <w:keepLines/>
        <w:spacing w:after="100" w:line="300"/>
      </w:pPr>
      <w:r>
        <w:rPr>
          <w:rFonts w:ascii="游ゴシック" w:cs="游ゴシック" w:eastAsia="游ゴシック" w:hAnsi="游ゴシック"/>
          <w:b/>
          <w:bCs/>
          <w:color w:val="2E75B6"/>
          <w:sz w:val="22"/>
          <w:szCs w:val="22"/>
        </w:rPr>
        <w:t xml:space="preserve">第1号被保険者数（★第9期からの変更点）</w:t>
      </w:r>
    </w:p>
    <w:p>
      <w:pPr>
        <w:spacing w:after="120" w:line="300"/>
      </w:pPr>
      <w:r>
        <w:rPr>
          <w:rFonts w:ascii="游ゴシック" w:cs="游ゴシック" w:eastAsia="游ゴシック" w:hAnsi="游ゴシック"/>
          <w:sz w:val="21"/>
          <w:szCs w:val="21"/>
        </w:rPr>
        <w:t xml:space="preserve">厚生労働省配布の推計用人口を、直近の実績（令和7年12月末。前期高齢者486人・後期高齢者526人）に合わせて置き直したうえで用います。置き直しの係数は前期1.0946、後期1.0334です。これを本計画では「B案」と呼びます。</w:t>
      </w:r>
    </w:p>
    <w:p>
      <w:pPr>
        <w:spacing w:after="120" w:line="300"/>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w:t>
      </w:r>
    </w:p>
    <w:p>
      <w:pPr>
        <w:spacing w:after="120" w:line="300"/>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置き直しを行うB案（1,004人・995人・987人）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県の通知は配布データを「参考として適切に設定願います」としており、その使用を義務づけてはいません。本計画はB案を採用します。</w:t>
      </w:r>
    </w:p>
    <w:p>
      <w:pPr>
        <w:keepNext/>
        <w:keepLines/>
        <w:spacing w:after="100" w:line="300"/>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要支援・要介護認定者数</w:t>
      </w:r>
    </w:p>
    <w:p>
      <w:pPr>
        <w:spacing w:after="120" w:line="300"/>
      </w:pPr>
      <w:r>
        <w:rPr>
          <w:rFonts w:ascii="游ゴシック" w:cs="游ゴシック" w:eastAsia="游ゴシック" w:hAnsi="游ゴシック"/>
          <w:sz w:val="21"/>
          <w:szCs w:val="21"/>
        </w:rPr>
        <w:t xml:space="preserve">前期高齢者・後期高齢者それぞれについて、要介護度別の認定率を令和6年から令和8年までの3か年平均で求め、B案の第1号被保険者数に乗じて算定します。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pPr>
      <w:r>
        <w:rPr>
          <w:rFonts w:ascii="游ゴシック" w:cs="游ゴシック" w:eastAsia="游ゴシック" w:hAnsi="游ゴシック"/>
          <w:b/>
          <w:bCs/>
          <w:color w:val="2E75B6"/>
          <w:sz w:val="22"/>
          <w:szCs w:val="22"/>
        </w:rPr>
        <w:t xml:space="preserve">サービス見込量・給付費</w:t>
      </w:r>
    </w:p>
    <w:p>
      <w:pPr>
        <w:spacing w:after="120" w:line="300"/>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厚生労働省配布の推計用人口 × 置き直しの係数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 要介護度別認定率（3か年平均）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提供を受けたうえで、正式な推計を行います。以下5-2から5-7は、本計画の策定時点で入手できている資料により算定した暫定値です。据え置いた項目は5-12に一覧化してい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pPr>
      <w:r>
        <w:rPr>
          <w:rFonts w:ascii="游ゴシック" w:cs="游ゴシック" w:eastAsia="游ゴシック" w:hAnsi="游ゴシック"/>
          <w:sz w:val="21"/>
          <w:szCs w:val="21"/>
        </w:rPr>
        <w:t xml:space="preserve">5-1の考え方（B案）により、第1号被保険者数を次のとおり見込みます。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872"/>
        <w:gridCol w:w="2059"/>
        <w:gridCol w:w="1498"/>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各年1月1日時点。令和7年は令和7年12月末の実績です。</w:t>
      </w:r>
    </w:p>
    <w:p>
      <w:pPr>
        <w:spacing w:after="120" w:line="300"/>
      </w:pPr>
      <w:r>
        <w:rPr>
          <w:rFonts w:ascii="游ゴシック" w:cs="游ゴシック" w:eastAsia="游ゴシック" w:hAnsi="游ゴシック"/>
          <w:sz w:val="21"/>
          <w:szCs w:val="21"/>
        </w:rPr>
        <w:t xml:space="preserve">第1号被保険者数は令和7年の1,012人から令和11年の987人へ25人（2.5%）減りますが、後期高齢者は526人から563人へ37人（7.0%）増えます。第1号被保険者に占める後期高齢者の割合は52.0%から57.0%へ5.0ポイント上がります。認定率は後期高齢者が前期高齢者の約5倍であるため、被保険者数が減っても認定者数は増える構造です（5-3）。</w:t>
      </w:r>
    </w:p>
    <w:p>
      <w:pPr>
        <w:keepNext/>
        <w:keepLines/>
        <w:spacing w:after="100" w:line="300"/>
      </w:pPr>
      <w:r>
        <w:rPr>
          <w:rFonts w:ascii="游ゴシック" w:cs="游ゴシック" w:eastAsia="游ゴシック" w:hAnsi="游ゴシック"/>
          <w:b/>
          <w:bCs/>
          <w:color w:val="2E75B6"/>
          <w:sz w:val="22"/>
          <w:szCs w:val="22"/>
        </w:rPr>
        <w:t xml:space="preserve">推計の検証</w:t>
      </w:r>
    </w:p>
    <w:p>
      <w:pPr>
        <w:spacing w:after="120" w:line="300"/>
      </w:pPr>
      <w:r>
        <w:rPr>
          <w:rFonts w:ascii="游ゴシック" w:cs="游ゴシック" w:eastAsia="游ゴシック" w:hAnsi="游ゴシック"/>
          <w:sz w:val="21"/>
          <w:szCs w:val="21"/>
        </w:rPr>
        <w:t xml:space="preserve">本計画は2つの方法で第1号被保険者数を算定し、結果を突き合わせました。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B案（採用）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2つの方法の差は最大3人（0.3%）にとどまり、いずれを採っても以降の推計は実質的に変わりません。保険料基準額に換算すると月額約7円の差です。本計画ではB案を採用します。介護保険の第1号被保険者数が住民基本台帳を基礎とすること、および国の推計ワークシートが同じ配布データを用いることによ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参考の方法による前期・後期別の内訳は、令和9年度末450人・552人、令和10年度末429人・568人、令和11年度末407人・583人です。前期・後期の分け方がB案と異なるのは、国勢調査ベースと住民基本台帳ベースで年齢構成の把握が異なるためです。合計では一致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pPr>
      <w:r>
        <w:rPr>
          <w:rFonts w:ascii="游ゴシック" w:cs="游ゴシック" w:eastAsia="游ゴシック" w:hAnsi="游ゴシック"/>
          <w:sz w:val="21"/>
          <w:szCs w:val="21"/>
        </w:rPr>
        <w:t xml:space="preserve">5-2の第1号被保険者数に、前期高齢者・後期高齢者それぞれの要介護度別認定率（令和6年から令和8年までの3か年平均）を乗じて算定します。用いた認定率は次のとおりです。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上表の認定率に5-2のB案の前期高齢者数・後期高齢者数を乗じれば、下表の要介護度別の値がそのまま得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842"/>
        <w:gridCol w:w="842"/>
        <w:gridCol w:w="842"/>
        <w:gridCol w:w="842"/>
        <w:gridCol w:w="842"/>
        <w:gridCol w:w="842"/>
        <w:gridCol w:w="842"/>
        <w:gridCol w:w="842"/>
        <w:gridCol w:w="131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13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令和8年（実績）</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令和8年は令和8年3月末の実績です。令和9年以降は、前期高齢者・後期高齢者それぞれの要介護度別認定率を5-2のB案の人口に乗じた値です。第1号被保険者数が1,012人から987人へ2.5%減るにもかかわらず、認定者数は214人から220人へ6人（2.8%）増えます。後期高齢者の割合が高まるためです。認定率は21.1%から22.3%へ1.2ポイント上が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は要介護度別の値を四捨五入する前に合計し、その合計を四捨五入した値です。このため要介護度別の数字をそのまま足した値と最大1人違います（令和9年は内訳の和213人・計214人、令和10年は内訳の和218人・計217人）。保険料の算定には「計」の値を用いています。</w:t>
      </w:r>
    </w:p>
    <w:p>
      <w:pPr>
        <w:keepNext/>
        <w:keepLines/>
        <w:spacing w:after="100" w:line="300"/>
      </w:pPr>
      <w:r>
        <w:rPr>
          <w:rFonts w:ascii="游ゴシック" w:cs="游ゴシック" w:eastAsia="游ゴシック" w:hAnsi="游ゴシック"/>
          <w:b/>
          <w:bCs/>
          <w:color w:val="2E75B6"/>
          <w:sz w:val="22"/>
          <w:szCs w:val="22"/>
        </w:rPr>
        <w:t xml:space="preserve">認定率の置き方による幅</w:t>
      </w:r>
    </w:p>
    <w:p>
      <w:pPr>
        <w:spacing w:after="120" w:line="300"/>
      </w:pPr>
      <w:r>
        <w:rPr>
          <w:rFonts w:ascii="游ゴシック" w:cs="游ゴシック" w:eastAsia="游ゴシック" w:hAnsi="游ゴシック"/>
          <w:sz w:val="21"/>
          <w:szCs w:val="21"/>
        </w:rPr>
        <w:t xml:space="preserve">認定者数は、以降のサービス見込量・給付費・保険料のすべての基礎になります。認定率をどう置くかで結果が変わるため、3とおりで試算しました。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123"/>
        <w:gridCol w:w="1123"/>
        <w:gridCol w:w="1123"/>
        <w:gridCol w:w="1498"/>
        <w:gridCol w:w="1498"/>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③は、本村の認定率が令和2年3月末の17.4%から令和8年3月末の21.1%へ、6年間で年平均0.62ポイント上昇してきた傾向が続くと置いたものです。①を採用したのは、単年度の値は少人数ゆえに振れが大きく、3か年平均の方が安定するためです。ただし①は3つのなかで最も低い見込みであり、認定率が上昇を続ける場合は下振れします。幅は令和11年で6人、保険料基準額で月額約170円です。</w:t>
      </w:r>
    </w:p>
    <w:p>
      <w:pPr>
        <w:spacing w:after="120" w:line="300"/>
      </w:pPr>
      <w:r>
        <w:rPr>
          <w:rFonts w:ascii="游ゴシック" w:cs="游ゴシック" w:eastAsia="游ゴシック" w:hAnsi="游ゴシック"/>
          <w:sz w:val="21"/>
          <w:szCs w:val="21"/>
        </w:rPr>
        <w:t xml:space="preserve">なお第9期計画の乖離を見ると、認定者数の合計はおおむね計画どおりでした（令和7年で計画200人に対し実績約206人・＋3%）。一方、第1号被保険者数は実績を6.6%下回りました（2-9）。第9期の乖離の主因は認定率の置き方ではなく、第1号被保険者数の推計の基礎にあります。本計画は5-1のとおり基礎を住民基本台帳ベースに改め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正式な推計は国の推計ワークシートの提供を受けて行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2種類しかなく、多くを村外の事業所で利用しているため、村内の供給力ではなく、実際の利用実績を基礎とします。</w:t>
      </w:r>
    </w:p>
    <w:p>
      <w:pPr>
        <w:spacing w:after="120" w:line="300"/>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pPr>
      <w:r>
        <w:rPr>
          <w:rFonts w:ascii="游ゴシック" w:cs="游ゴシック" w:eastAsia="游ゴシック" w:hAnsi="游ゴシック"/>
          <w:b/>
          <w:bCs/>
          <w:color w:val="2E75B6"/>
          <w:sz w:val="22"/>
          <w:szCs w:val="22"/>
        </w:rPr>
        <w:t xml:space="preserve">基準年度とデータの月数</w:t>
      </w:r>
    </w:p>
    <w:p>
      <w:pPr>
        <w:spacing w:after="120" w:line="300"/>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04"/>
        <w:gridCol w:w="1404"/>
        <w:gridCol w:w="2059"/>
        <w:gridCol w:w="1123"/>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pPr>
      <w:r>
        <w:rPr>
          <w:rFonts w:ascii="游ゴシック" w:cs="游ゴシック" w:eastAsia="游ゴシック" w:hAnsi="游ゴシック"/>
          <w:b/>
          <w:bCs/>
          <w:color w:val="2E75B6"/>
          <w:sz w:val="22"/>
          <w:szCs w:val="22"/>
        </w:rPr>
        <w:t xml:space="preserve">利用率の分母</w:t>
      </w:r>
    </w:p>
    <w:p>
      <w:pPr>
        <w:spacing w:after="120" w:line="300"/>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ワークシートを受領した時点で、ツールが求める分母を確認したうえで入力します。</w:t>
      </w:r>
    </w:p>
    <w:p>
      <w:pPr>
        <w:keepNext/>
        <w:keepLines/>
        <w:spacing w:after="100" w:line="300"/>
      </w:pPr>
      <w:r>
        <w:rPr>
          <w:rFonts w:ascii="游ゴシック" w:cs="游ゴシック" w:eastAsia="游ゴシック" w:hAnsi="游ゴシック"/>
          <w:b/>
          <w:bCs/>
          <w:color w:val="2E75B6"/>
          <w:sz w:val="22"/>
          <w:szCs w:val="22"/>
        </w:rPr>
        <w:t xml:space="preserve">算定の対象とするサービス</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(1) 居宅サービス</w:t>
      </w:r>
    </w:p>
    <w:p>
      <w:pPr>
        <w:spacing w:after="120" w:line="300"/>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対応型共同生活介護は令和7年度に25.0人／月で、村内グループホームの定員27人に対する稼働率は93%です。第10期に居住系の利用が増える見込みであるにもかかわらず、村内に受け皿の余地がほとんど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実績がないため、統合による見込量への影響はありません。</w:t>
      </w:r>
    </w:p>
    <w:p>
      <w:pPr>
        <w:keepNext/>
        <w:keepLines/>
        <w:spacing w:after="100" w:line="300"/>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20" w:line="300"/>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pPr>
      <w:r>
        <w:rPr>
          <w:rFonts w:ascii="游ゴシック" w:cs="游ゴシック" w:eastAsia="游ゴシック" w:hAnsi="游ゴシック"/>
          <w:b/>
          <w:bCs/>
          <w:color w:val="2E75B6"/>
          <w:sz w:val="22"/>
          <w:szCs w:val="22"/>
        </w:rPr>
        <w:t xml:space="preserve">(4)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pPr>
      <w:r>
        <w:rPr>
          <w:rFonts w:ascii="游ゴシック" w:cs="游ゴシック" w:eastAsia="游ゴシック" w:hAnsi="游ゴシック"/>
          <w:b/>
          <w:bCs/>
          <w:color w:val="2E75B6"/>
          <w:sz w:val="22"/>
          <w:szCs w:val="22"/>
        </w:rPr>
        <w:t xml:space="preserve">(5) 供給の制約</w:t>
      </w:r>
    </w:p>
    <w:p>
      <w:pPr>
        <w:spacing w:after="120" w:line="300"/>
      </w:pPr>
      <w:r>
        <w:rPr>
          <w:rFonts w:ascii="游ゴシック" w:cs="游ゴシック" w:eastAsia="游ゴシック" w:hAnsi="游ゴシック"/>
          <w:sz w:val="21"/>
          <w:szCs w:val="21"/>
        </w:rPr>
        <w:t xml:space="preserve">村内で提供されているサービスは認知症対応型共同生活介護（定員27人）と通所介護（定員50人）の2種類だけです（2-5）。見込量が村内の定員を超えるかどうかを確かめました。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90.7%</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いずれも計画期間に村内の定員を超えません。最も高いのは認知症対応型共同生活介護の令和11年度で90.7%です。したがって定員による頭打ちを課しても見込量は動きません。</w:t>
      </w:r>
    </w:p>
    <w:p>
      <w:pPr>
        <w:spacing w:after="120" w:line="300"/>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pPr>
      <w:r>
        <w:rPr>
          <w:rFonts w:ascii="游ゴシック" w:cs="游ゴシック" w:eastAsia="游ゴシック" w:hAnsi="游ゴシック"/>
          <w:b/>
          <w:bCs/>
          <w:color w:val="2E75B6"/>
          <w:sz w:val="22"/>
          <w:szCs w:val="22"/>
        </w:rPr>
        <w:t xml:space="preserve">(6) 見込量の自己点検</w:t>
      </w:r>
    </w:p>
    <w:p>
      <w:pPr>
        <w:spacing w:after="120" w:line="300"/>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pPr>
      <w:r>
        <w:rPr>
          <w:rFonts w:ascii="游ゴシック" w:cs="游ゴシック" w:eastAsia="游ゴシック" w:hAnsi="游ゴシック"/>
          <w:sz w:val="21"/>
          <w:szCs w:val="21"/>
        </w:rPr>
        <w:t xml:space="preserve">　閾値　＝　Q1 － 2×（Q3－Q1）　から　Q3 ＋ 2×（Q3－Q1）　まで</w:t>
      </w:r>
    </w:p>
    <w:p>
      <w:pPr>
        <w:spacing w:after="120" w:line="300"/>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pPr>
      <w:r>
        <w:rPr>
          <w:rFonts w:ascii="游ゴシック" w:cs="游ゴシック" w:eastAsia="游ゴシック" w:hAnsi="游ゴシック"/>
          <w:b/>
          <w:bCs/>
          <w:color w:val="2E75B6"/>
          <w:sz w:val="22"/>
          <w:szCs w:val="22"/>
        </w:rPr>
        <w:t xml:space="preserve">(7) 介護給付と予防給付の区分</w:t>
      </w:r>
    </w:p>
    <w:p>
      <w:pPr>
        <w:spacing w:after="120" w:line="300"/>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0.168人分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pPr>
      <w:r>
        <w:rPr>
          <w:rFonts w:ascii="游ゴシック" w:cs="游ゴシック" w:eastAsia="游ゴシック" w:hAnsi="游ゴシック"/>
          <w:b/>
          <w:bCs/>
          <w:color w:val="2E75B6"/>
          <w:sz w:val="22"/>
          <w:szCs w:val="22"/>
        </w:rPr>
        <w:t xml:space="preserve">(10) 推計の不確かさ</w:t>
      </w:r>
    </w:p>
    <w:p>
      <w:pPr>
        <w:spacing w:after="120" w:line="300"/>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pPr>
      <w:r>
        <w:rPr>
          <w:rFonts w:ascii="游ゴシック" w:cs="游ゴシック" w:eastAsia="游ゴシック" w:hAnsi="游ゴシック"/>
          <w:b/>
          <w:bCs/>
          <w:color w:val="2E75B6"/>
          <w:sz w:val="22"/>
          <w:szCs w:val="22"/>
        </w:rPr>
        <w:t xml:space="preserve">① 単価の趨勢</w:t>
      </w:r>
    </w:p>
    <w:p>
      <w:pPr>
        <w:spacing w:after="120" w:line="300"/>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pPr>
      <w:r>
        <w:rPr>
          <w:rFonts w:ascii="游ゴシック" w:cs="游ゴシック" w:eastAsia="游ゴシック" w:hAnsi="游ゴシック"/>
          <w:b/>
          <w:bCs/>
          <w:color w:val="2E75B6"/>
          <w:sz w:val="22"/>
          <w:szCs w:val="22"/>
        </w:rPr>
        <w:t xml:space="preserve">② サービス別の伸びの偏り</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pPr>
      <w:r>
        <w:rPr>
          <w:rFonts w:ascii="游ゴシック" w:cs="游ゴシック" w:eastAsia="游ゴシック" w:hAnsi="游ゴシック"/>
          <w:b/>
          <w:bCs/>
          <w:color w:val="2E75B6"/>
          <w:sz w:val="22"/>
          <w:szCs w:val="22"/>
        </w:rPr>
        <w:t xml:space="preserve">③ 推計そのものの誤差</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pPr>
      <w:r>
        <w:rPr>
          <w:rFonts w:ascii="游ゴシック" w:cs="游ゴシック" w:eastAsia="游ゴシック" w:hAnsi="游ゴシック"/>
          <w:b/>
          <w:bCs/>
          <w:color w:val="2E75B6"/>
          <w:sz w:val="22"/>
          <w:szCs w:val="22"/>
        </w:rPr>
        <w:t xml:space="preserve">(11) 施策の見込量への反映</w:t>
      </w:r>
    </w:p>
    <w:p>
      <w:pPr>
        <w:spacing w:after="120" w:line="300"/>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織り込んでいない。受給率は令和5〜7年度の3か年平均を固定。総合事業の訪問型A〜D・通所型A〜Cは実績がないため0（5-5）</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pPr>
      <w:r>
        <w:rPr>
          <w:rFonts w:ascii="游ゴシック" w:cs="游ゴシック" w:eastAsia="游ゴシック" w:hAnsi="游ゴシック"/>
          <w:b/>
          <w:bCs/>
          <w:color w:val="2E75B6"/>
          <w:sz w:val="22"/>
          <w:szCs w:val="22"/>
        </w:rPr>
        <w:t xml:space="preserve">(12) 需要に対する供給（担い手の枠）</w:t>
      </w:r>
    </w:p>
    <w:p>
      <w:pPr>
        <w:spacing w:after="120" w:line="300"/>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r>
    </w:tbl>
    <w:p>
      <w:pPr>
        <w:spacing w:after="160" w:line="300"/>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4.99人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令和8年10月に回収。対象118人</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pPr>
      <w:r>
        <w:rPr>
          <w:rFonts w:ascii="游ゴシック" w:cs="游ゴシック" w:eastAsia="游ゴシック" w:hAnsi="游ゴシック"/>
          <w:b/>
          <w:bCs/>
          <w:color w:val="2E75B6"/>
          <w:sz w:val="22"/>
          <w:szCs w:val="22"/>
        </w:rPr>
        <w:t xml:space="preserve">(14) 24時間対応サービスの確保方策</w:t>
      </w:r>
    </w:p>
    <w:p>
      <w:pPr>
        <w:spacing w:after="120" w:line="300"/>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本村は特定地域に該当する見込みです（1-8の3）。人員配置と報酬の両面で成立の余地が広がるため、最も現実的な選択肢です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3の注記と同じ確認事項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pPr>
      <w:r>
        <w:rPr>
          <w:rFonts w:ascii="游ゴシック" w:cs="游ゴシック" w:eastAsia="游ゴシック" w:hAnsi="游ゴシック"/>
          <w:b/>
          <w:bCs/>
          <w:color w:val="2E75B6"/>
          <w:sz w:val="22"/>
          <w:szCs w:val="22"/>
        </w:rPr>
        <w:t xml:space="preserve">(1) 地域支援事業の量の見込み</w:t>
      </w:r>
    </w:p>
    <w:p>
      <w:pPr>
        <w:spacing w:after="120" w:line="300"/>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842"/>
        <w:gridCol w:w="842"/>
        <w:gridCol w:w="842"/>
        <w:gridCol w:w="1030"/>
        <w:gridCol w:w="1030"/>
        <w:gridCol w:w="93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「0」は実績がないことを、「―」は村からの実績の提供を受けていないことを示します。</w:t>
      </w:r>
    </w:p>
    <w:p>
      <w:pPr>
        <w:keepNext/>
        <w:keepLines/>
        <w:spacing w:after="100" w:line="300"/>
      </w:pPr>
      <w:r>
        <w:rPr>
          <w:rFonts w:ascii="游ゴシック" w:cs="游ゴシック" w:eastAsia="游ゴシック" w:hAnsi="游ゴシック"/>
          <w:b/>
          <w:bCs/>
          <w:color w:val="2E75B6"/>
          <w:sz w:val="22"/>
          <w:szCs w:val="22"/>
        </w:rPr>
        <w:t xml:space="preserve">量の見込みの立て方</w:t>
      </w:r>
    </w:p>
    <w:p>
      <w:pPr>
        <w:spacing w:after="120" w:line="300"/>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実績がないため「0」で立てましたが、施策1-2で創設を検討することとしているため、実施を決定した場合は見込量に計上して差し替えます。</w:t>
      </w:r>
    </w:p>
    <w:p>
      <w:pPr>
        <w:keepNext/>
        <w:keepLines/>
        <w:spacing w:after="100" w:line="300"/>
      </w:pPr>
      <w:r>
        <w:rPr>
          <w:rFonts w:ascii="游ゴシック" w:cs="游ゴシック" w:eastAsia="游ゴシック" w:hAnsi="游ゴシック"/>
          <w:b/>
          <w:bCs/>
          <w:color w:val="2E75B6"/>
          <w:sz w:val="22"/>
          <w:szCs w:val="22"/>
        </w:rPr>
        <w:t xml:space="preserve">(2) 地域支援事業費の見込み</w:t>
      </w:r>
    </w:p>
    <w:p>
      <w:pPr>
        <w:spacing w:after="120" w:line="300"/>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pPr>
      <w:r>
        <w:rPr>
          <w:rFonts w:ascii="游ゴシック" w:cs="游ゴシック" w:eastAsia="游ゴシック" w:hAnsi="游ゴシック"/>
          <w:b/>
          <w:bCs/>
          <w:color w:val="2E75B6"/>
          <w:sz w:val="22"/>
          <w:szCs w:val="22"/>
        </w:rPr>
        <w:t xml:space="preserve">介護給付費と予防給付費の分離</w:t>
      </w:r>
    </w:p>
    <w:p>
      <w:pPr>
        <w:spacing w:after="120" w:line="300"/>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pPr>
      <w:r>
        <w:rPr>
          <w:rFonts w:ascii="游ゴシック" w:cs="游ゴシック" w:eastAsia="游ゴシック" w:hAnsi="游ゴシック"/>
          <w:b/>
          <w:bCs/>
          <w:color w:val="2E75B6"/>
          <w:sz w:val="22"/>
          <w:szCs w:val="22"/>
        </w:rPr>
        <w:t xml:space="preserve">補助給付等の対標準給付費比</w:t>
      </w:r>
    </w:p>
    <w:p>
      <w:pPr>
        <w:spacing w:after="120" w:line="300"/>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1685"/>
        <w:gridCol w:w="3557"/>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spacing w:after="120" w:line="300"/>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keepNext/>
        <w:keepLines/>
        <w:spacing w:after="100" w:line="300"/>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pPr>
      <w:r>
        <w:rPr>
          <w:rFonts w:ascii="游ゴシック" w:cs="游ゴシック" w:eastAsia="游ゴシック" w:hAnsi="游ゴシック"/>
          <w:b/>
          <w:bCs/>
          <w:color w:val="2E75B6"/>
          <w:sz w:val="22"/>
          <w:szCs w:val="22"/>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編集注記：令和6年度末実績および令和7年度末見込の提供を受けたうえで、計画的な取崩方針とあわせて記載します。</w:t>
      </w:r>
    </w:p>
    <w:p>
      <w:pPr>
        <w:keepNext/>
        <w:keepLines/>
        <w:spacing w:after="100" w:line="300"/>
      </w:pPr>
      <w:r>
        <w:rPr>
          <w:rFonts w:ascii="游ゴシック" w:cs="游ゴシック" w:eastAsia="游ゴシック" w:hAnsi="游ゴシック"/>
          <w:b/>
          <w:bCs/>
          <w:color w:val="2E75B6"/>
          <w:sz w:val="22"/>
          <w:szCs w:val="22"/>
        </w:rPr>
        <w:t xml:space="preserve">保険料基準額の算定</w:t>
      </w:r>
    </w:p>
    <w:p>
      <w:pPr>
        <w:spacing w:after="120" w:line="300"/>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pPr>
      <w:r>
        <w:rPr>
          <w:rFonts w:ascii="游ゴシック" w:cs="游ゴシック" w:eastAsia="游ゴシック" w:hAnsi="游ゴシック"/>
          <w:b/>
          <w:bCs/>
          <w:color w:val="2E75B6"/>
          <w:sz w:val="22"/>
          <w:szCs w:val="22"/>
        </w:rPr>
        <w:t xml:space="preserve">算定の構造</w:t>
      </w:r>
    </w:p>
    <w:p>
      <w:pPr>
        <w:spacing w:after="120" w:line="300"/>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pPr>
      <w:r>
        <w:rPr>
          <w:rFonts w:ascii="游ゴシック" w:cs="游ゴシック" w:eastAsia="游ゴシック" w:hAnsi="游ゴシック"/>
          <w:b/>
          <w:bCs/>
          <w:color w:val="2E75B6"/>
          <w:sz w:val="22"/>
          <w:szCs w:val="22"/>
        </w:rPr>
        <w:t xml:space="preserve">算定の構造による第9期の再現</w:t>
      </w:r>
    </w:p>
    <w:p>
      <w:pPr>
        <w:spacing w:after="120" w:line="300"/>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pPr>
      <w:r>
        <w:rPr>
          <w:rFonts w:ascii="游ゴシック" w:cs="游ゴシック" w:eastAsia="游ゴシック" w:hAnsi="游ゴシック"/>
          <w:b/>
          <w:bCs/>
          <w:color w:val="2E75B6"/>
          <w:sz w:val="22"/>
          <w:szCs w:val="22"/>
        </w:rPr>
        <w:t xml:space="preserve">第1号被保険者負担割合（α）</w:t>
      </w:r>
    </w:p>
    <w:p>
      <w:pPr>
        <w:spacing w:after="120" w:line="300"/>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編集注記：第10期の第1号被保険者負担割合を定める政令の公布状況を村に確認します。第2回・第3回策定委員会では23%を本体としつつ24%を併記します。</w:t>
      </w:r>
    </w:p>
    <w:p>
      <w:pPr>
        <w:keepNext/>
        <w:keepLines/>
        <w:spacing w:after="100" w:line="300"/>
      </w:pPr>
      <w:r>
        <w:rPr>
          <w:rFonts w:ascii="游ゴシック" w:cs="游ゴシック" w:eastAsia="游ゴシック" w:hAnsi="游ゴシック"/>
          <w:b/>
          <w:bCs/>
          <w:color w:val="2E75B6"/>
          <w:sz w:val="22"/>
          <w:szCs w:val="22"/>
        </w:rPr>
        <w:t xml:space="preserve">感応度</w:t>
      </w:r>
    </w:p>
    <w:p>
      <w:pPr>
        <w:spacing w:after="120" w:line="300"/>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編集注記：上表は令和5年度決算を基礎とした暫定値です。令和6年度・令和7年度の決算と基金残高の提供を受けて確定します。</w:t>
      </w:r>
    </w:p>
    <w:p>
      <w:pPr>
        <w:keepNext/>
        <w:keepLines/>
        <w:spacing w:after="100" w:line="300"/>
      </w:pPr>
      <w:r>
        <w:rPr>
          <w:rFonts w:ascii="游ゴシック" w:cs="游ゴシック" w:eastAsia="游ゴシック" w:hAnsi="游ゴシック"/>
          <w:b/>
          <w:bCs/>
          <w:color w:val="2E75B6"/>
          <w:sz w:val="22"/>
          <w:szCs w:val="22"/>
        </w:rPr>
        <w:t xml:space="preserve">年度別の保険料収納必要額</w:t>
      </w:r>
    </w:p>
    <w:p>
      <w:pPr>
        <w:spacing w:after="120" w:line="300"/>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▲486千円（不足）</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pPr>
      <w:r>
        <w:rPr>
          <w:rFonts w:ascii="游ゴシック" w:cs="游ゴシック" w:eastAsia="游ゴシック" w:hAnsi="游ゴシック"/>
          <w:b/>
          <w:bCs/>
          <w:color w:val="2E75B6"/>
          <w:sz w:val="22"/>
          <w:szCs w:val="22"/>
        </w:rPr>
        <w:t xml:space="preserve">保険料基準額のパターン</w:t>
      </w:r>
    </w:p>
    <w:p>
      <w:pPr>
        <w:spacing w:after="120" w:line="300"/>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pPr>
      <w:r>
        <w:rPr>
          <w:rFonts w:ascii="游ゴシック" w:cs="游ゴシック" w:eastAsia="游ゴシック" w:hAnsi="游ゴシック"/>
          <w:b/>
          <w:bCs/>
          <w:color w:val="2E75B6"/>
          <w:sz w:val="22"/>
          <w:szCs w:val="22"/>
        </w:rPr>
        <w:t xml:space="preserve">算定上の月額と条例上の基準額</w:t>
      </w:r>
    </w:p>
    <w:p>
      <w:pPr>
        <w:spacing w:after="120" w:line="300"/>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四捨五入した額とすることが一般的です。両者は区別して扱う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98"/>
        <w:gridCol w:w="2434"/>
        <w:gridCol w:w="168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パターン</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算定上の月額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条例上の基準額（百円未満四捨五入）</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第9期からの増減</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12パターンの下限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12パターンの上限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第9期（参考）</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pPr>
      <w:r>
        <w:rPr>
          <w:rFonts w:ascii="游ゴシック" w:cs="游ゴシック" w:eastAsia="游ゴシック" w:hAnsi="游ゴシック"/>
          <w:sz w:val="21"/>
          <w:szCs w:val="21"/>
        </w:rPr>
        <w:t xml:space="preserve">第9期の条例基準額6,700円に対し、基金を取り崩さない場合は6,800円（＋100円）、24,000千円を取り崩す場合は6,100円（▲600円）となります。条例上の基準額を据え置く6,700円とするには、基金の取崩額を上記の中間に置くこと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編集注記：四捨五入の扱いは村の条例の定め方によります。第9期の条例において算定上の月額をどのように基準額に置き換えたかを確認したうえで、第10期も同じ扱いとします。</w:t>
      </w:r>
    </w:p>
    <w:p>
      <w:pPr>
        <w:spacing w:after="120" w:line="300"/>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編集注記：令和6年度・令和7年度の決算および基金残高の提供を受けて確定します。</w:t>
      </w:r>
    </w:p>
    <w:p>
      <w:pPr>
        <w:keepNext/>
        <w:keepLines/>
        <w:spacing w:after="100" w:line="300"/>
      </w:pPr>
      <w:r>
        <w:rPr>
          <w:rFonts w:ascii="游ゴシック" w:cs="游ゴシック" w:eastAsia="游ゴシック" w:hAnsi="游ゴシック"/>
          <w:b/>
          <w:bCs/>
          <w:color w:val="2E75B6"/>
          <w:sz w:val="22"/>
          <w:szCs w:val="22"/>
        </w:rPr>
        <w:t xml:space="preserve">所得段階の設定</w:t>
      </w:r>
    </w:p>
    <w:p>
      <w:pPr>
        <w:spacing w:after="120" w:line="300"/>
      </w:pPr>
      <w:r>
        <w:rPr>
          <w:rFonts w:ascii="游ゴシック" w:cs="游ゴシック" w:eastAsia="游ゴシック" w:hAnsi="游ゴシック"/>
          <w:sz w:val="21"/>
          <w:szCs w:val="21"/>
        </w:rPr>
        <w:t xml:space="preserve">所得段階は、国の基準に基づき標準13段階を設定します。</w:t>
      </w:r>
    </w:p>
    <w:p>
      <w:pPr>
        <w:spacing w:after="120" w:line="300"/>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出典：令和8年度合計所得金額分布調査</w:t>
      </w:r>
    </w:p>
    <w:p>
      <w:pPr>
        <w:spacing w:after="120" w:line="300"/>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令和11年度）です。</w:t>
      </w:r>
    </w:p>
    <w:p>
      <w:pPr>
        <w:spacing w:after="120" w:line="300"/>
      </w:pPr>
      <w:r>
        <w:rPr>
          <w:rFonts w:ascii="游ゴシック" w:cs="游ゴシック" w:eastAsia="游ゴシック" w:hAnsi="游ゴシック"/>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keepNext/>
        <w:keepLines/>
        <w:spacing w:after="100" w:line="300"/>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毎年度【要設定】件</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4帳票を全件点検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毎年度4帳票・100%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keepNext/>
        <w:keepLines/>
        <w:spacing w:after="100" w:line="300"/>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pPr>
      <w:r>
        <w:rPr>
          <w:rFonts w:ascii="游ゴシック" w:cs="游ゴシック" w:eastAsia="游ゴシック" w:hAnsi="游ゴシック"/>
          <w:b/>
          <w:bCs/>
          <w:color w:val="2E75B6"/>
          <w:sz w:val="22"/>
          <w:szCs w:val="22"/>
        </w:rPr>
        <w:t xml:space="preserve">(3) 財政調整交付金の算定への影響</w:t>
      </w:r>
    </w:p>
    <w:p>
      <w:pPr>
        <w:spacing w:after="120" w:line="300"/>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縦覧点検・医療情報との突合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令和8年度の評価で0点（①または②が未実施の可能性）</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上記の据え置きを前提に月額6,756円と算定（5-7）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勘案の方法と程度は公表されていないため、実際にどの程度反映されるかは確かめられていません。県に対し、調整交付金の算定方法と主要3事業の取組状況の勘案の有無・程度、および本村の交付割合の見通しを照会する必要があります。照会の結果が出るまでは、5-7のとおり第9期から復元した交付割合を据え置いて算定します。指針の該当箇所（第二の(2)④）については原文の再確認を要します。</w:t>
      </w:r>
    </w:p>
    <w:p>
      <w:pPr>
        <w:keepNext/>
        <w:keepLines/>
        <w:spacing w:after="100" w:line="300"/>
      </w:pPr>
      <w:r>
        <w:rPr>
          <w:rFonts w:ascii="游ゴシック" w:cs="游ゴシック" w:eastAsia="游ゴシック" w:hAnsi="游ゴシック"/>
          <w:b/>
          <w:bCs/>
          <w:color w:val="2E75B6"/>
          <w:sz w:val="22"/>
          <w:szCs w:val="22"/>
        </w:rPr>
        <w:t xml:space="preserve">(4) 介護SCRの活用</w:t>
      </w:r>
    </w:p>
    <w:p>
      <w:pPr>
        <w:spacing w:after="120" w:line="300"/>
      </w:pPr>
      <w:r>
        <w:rPr>
          <w:rFonts w:ascii="游ゴシック" w:cs="游ゴシック" w:eastAsia="游ゴシック" w:hAnsi="游ゴシック"/>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pPr>
      <w:r>
        <w:rPr>
          <w:rFonts w:ascii="游ゴシック" w:cs="游ゴシック" w:eastAsia="游ゴシック" w:hAnsi="游ゴシック"/>
          <w:sz w:val="21"/>
          <w:szCs w:val="21"/>
        </w:rPr>
        <w:t xml:space="preserve">本村は給付費の58.7%が村外のサービスによるものであり（2-5）、村内の事業所は2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spacing w:after="120" w:line="300"/>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pPr>
      <w:r>
        <w:rPr>
          <w:rFonts w:ascii="游ゴシック" w:cs="游ゴシック" w:eastAsia="游ゴシック" w:hAnsi="游ゴシック"/>
          <w:b/>
          <w:bCs/>
          <w:color w:val="2E75B6"/>
          <w:sz w:val="22"/>
          <w:szCs w:val="22"/>
        </w:rPr>
        <w:t xml:space="preserve">(1) 交付見込額</w:t>
      </w:r>
    </w:p>
    <w:p>
      <w:pPr>
        <w:spacing w:after="120" w:line="300"/>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pPr>
      <w:r>
        <w:rPr>
          <w:rFonts w:ascii="游ゴシック" w:cs="游ゴシック" w:eastAsia="游ゴシック" w:hAnsi="游ゴシック"/>
          <w:b/>
          <w:bCs/>
          <w:color w:val="2E75B6"/>
          <w:sz w:val="22"/>
          <w:szCs w:val="22"/>
        </w:rPr>
        <w:t xml:space="preserve">(2) 評価結果の状況</w:t>
      </w:r>
    </w:p>
    <w:p>
      <w:pPr>
        <w:spacing w:after="120" w:line="300"/>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pPr>
      <w:r>
        <w:rPr>
          <w:rFonts w:ascii="游ゴシック" w:cs="游ゴシック" w:eastAsia="游ゴシック" w:hAnsi="游ゴシック"/>
          <w:b/>
          <w:bCs/>
          <w:color w:val="2E75B6"/>
          <w:sz w:val="22"/>
          <w:szCs w:val="22"/>
        </w:rPr>
        <w:t xml:space="preserve">中長期の見込量・給付費・保険料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本村では1ポイントで月額約294円です。給付費が16.2%減ることによる引下げは月額約960円に相当しますが、αが3ポイント上がればほぼ相殺されます。</w:t>
      </w:r>
    </w:p>
    <w:p>
      <w:pPr>
        <w:spacing w:after="120" w:line="300"/>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pPr>
      <w:r>
        <w:rPr>
          <w:rFonts w:ascii="游ゴシック" w:cs="游ゴシック" w:eastAsia="游ゴシック" w:hAnsi="游ゴシック"/>
          <w:b/>
          <w:bCs/>
          <w:color w:val="2E75B6"/>
          <w:sz w:val="22"/>
          <w:szCs w:val="22"/>
        </w:rPr>
        <w:t xml:space="preserve">保険料基準額の見通し（αの2案）</w:t>
      </w:r>
    </w:p>
    <w:p>
      <w:pPr>
        <w:spacing w:after="120" w:line="300"/>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村への確認</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介護給付費準備基金の残高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第9期と同額24,000千円の取崩しを仮置き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基金残高調書（管理番号21）</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αを2案置いた参考値（報酬改定・制度改正を織り込まない）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第12期・第14期の政令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第9期の23%を据え置き。24%・25%の場合も併記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第10期に適用される政令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第9期計画から復元した0.95928を据え置き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第9期から復元したF×G＝1.03428により処理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第9期の99.5%を据え置き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第9期の設定を据え置き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推計ワークシートの提供を受けた時点で、次の5点を確認したうえで入力します。①所得段階別の第1号被保険者数を13段階すべて登録しないと保険料基準額が算定されないこと。②保険料段階の設定が標準の段階区分によるものか弾力化によるものかを、村の条例の乗率と突き合わせて決めること（条例で標準と異なる乗率を用いている場合は弾力化としての登録が必要です）。③補正係数（F・G）は国の式により検算できるため、5-7で復元した値との差を確かめること。④地域支援事業費・その他給付費・介護給付費準備基金・予定保険料収納率は、入力しなければ保険料に反映されないこと。⑤ワーニングの発生状況を一覧で確認し、利用者数を0としているサービスによるものと、入力の誤りによるものを区別すること。あわせて、ワークシートは推計のパターン名が同じでも出力の日付により内容が変わり得るため、パターン名と出力日を記録し、資料を差し替える際に取り違えないようにします。</w:t>
      </w:r>
    </w:p>
    <w:p>
      <w:pPr>
        <w:keepNext/>
        <w:keepLines/>
        <w:spacing w:after="100" w:line="300"/>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取崩なしと24,000千円の2とおりを併記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pPr>
      <w:r>
        <w:rPr>
          <w:rFonts w:ascii="游ゴシック" w:cs="游ゴシック" w:eastAsia="游ゴシック" w:hAnsi="游ゴシック"/>
          <w:b/>
          <w:bCs/>
          <w:color w:val="2E75B6"/>
          <w:sz w:val="22"/>
          <w:szCs w:val="22"/>
        </w:rPr>
        <w:t xml:space="preserve">残る61点の扱い</w:t>
      </w:r>
    </w:p>
    <w:p>
      <w:pPr>
        <w:spacing w:after="120" w:line="300"/>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pPr>
      <w:r>
        <w:rPr>
          <w:rFonts w:ascii="游ゴシック" w:cs="游ゴシック" w:eastAsia="游ゴシック" w:hAnsi="游ゴシック"/>
          <w:b/>
          <w:bCs/>
          <w:color w:val="2E75B6"/>
          <w:sz w:val="22"/>
          <w:szCs w:val="22"/>
        </w:rPr>
        <w:t xml:space="preserve">給付適正化と交付金評価の進捗管理</w:t>
      </w:r>
    </w:p>
    <w:p>
      <w:pPr>
        <w:spacing w:after="120" w:line="300"/>
      </w:pPr>
      <w:r>
        <w:rPr>
          <w:rFonts w:ascii="游ゴシック" w:cs="游ゴシック" w:eastAsia="游ゴシック" w:hAnsi="游ゴシック"/>
          <w:sz w:val="21"/>
          <w:szCs w:val="21"/>
        </w:rPr>
        <w:t xml:space="preserve">上表の4項目に加えて、次の2つを毎年度の検証の対象とします。いずれも6-3の成果目標・活動指標と一体のものです。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主要3事業の実施状況と定量目標の達成状況（5-8(1)）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見直しの目安</w:t>
      </w:r>
    </w:p>
    <w:p>
      <w:pPr>
        <w:spacing w:after="120" w:line="300"/>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pPr>
      <w:r>
        <w:rPr>
          <w:rFonts w:ascii="游ゴシック" w:cs="游ゴシック" w:eastAsia="游ゴシック" w:hAnsi="游ゴシック"/>
          <w:b/>
          <w:bCs/>
          <w:color w:val="2E75B6"/>
          <w:sz w:val="22"/>
          <w:szCs w:val="22"/>
        </w:rPr>
        <w:t xml:space="preserve">設置の根拠</w:t>
      </w:r>
    </w:p>
    <w:p>
      <w:pPr>
        <w:spacing w:after="120" w:line="300"/>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縦覧点検・医療情報との突合を「主要3事業」としています（令和5年9月12日の指針による名称）。</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総合相談支援業務</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118"/>
        <w:gridCol w:w="2621"/>
        <w:gridCol w:w="2059"/>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確認すべき指標・状況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本計画の該当箇所</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1-5、1-8の3、2-1、施策2-1、施策2-6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二</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2-1、2-8、6-3、施策4-3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四</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2-3、2-8、2-9、5-3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五</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2-4、2-5、5-4、5-8(4)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5-4、5-5、2-10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2-5、5-4(8)、5-4(12)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1-8の1、4-6、施策2-3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2-6、2-8、5-5、施策1-1、施策1-2、施策4-1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2-3、4-7、施策4-4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一部の対応にとどまっている事項</w:t>
      </w:r>
    </w:p>
    <w:p>
      <w:pPr>
        <w:spacing w:after="120" w:line="300"/>
      </w:pPr>
      <w:r>
        <w:rPr>
          <w:rFonts w:ascii="游ゴシック" w:cs="游ゴシック" w:eastAsia="游ゴシック" w:hAnsi="游ゴシック"/>
          <w:sz w:val="21"/>
          <w:szCs w:val="21"/>
        </w:rPr>
        <w:t xml:space="preserve">上表で「一部」とした5事項について、何が対応できていないか、何で代えているかを示します。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死亡場所別の死亡数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人口動態統計の市町村別の公表は死亡場所別の内訳を含まないため、本村の規模では値が得られません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施策4-3に在宅医療・介護連携の課題として看取りへの対応を掲げ、村内に医療系の居宅サービス事業所がないこと（2-5）から連携の必要性を示しています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2-10に調査の枠を置き、結果が得られた時点で反映します。第9期調査の主な結果を参考として掲げています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入所率、入退所の状況、従事者数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村内の入所施設は認知症対応型共同生活介護1施設のみで、利用の多くは村外施設です。入所率・入退所および従事者数は村に実績の集計がありません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定員と認定者1人あたり定員の推移（2-5）、村内定員の到達率（5-4(8)）、生産年齢人口比による担い手の枠の試算（5-4(12)）で代えています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要介護者等である入居者の状況</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村内に有料老人ホーム・サービス付き高齢者向け住宅がないため、入居者の状況を村が把握する仕組みがありません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4-6に村外施設の利用による確保を掲げ、施策2-3で村外施設の情報の把握に取り組むこととしています。令和8年法律第51号による登録制の導入後は登録情報により把握できる見込みです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医療介護連携に関する加算の算定状況</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加算別の算定状況は給付実績の集計を要します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施策4-3に在宅医療と介護の提供体制の目指すべき姿と課題を掲げ、5-8(4)の介護SCRにより医療との関係を間接的に見ています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編集注記：事項六・七・十については、必要な集計が得られた時点で該当する節に加え、本表の対応の欄を改めます。5-12(1)の据え置いた項目と重なります。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社会福祉法等の一部を改正する法律（令和8年法律第51号）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社会保障審議会介護保険部会資料（令和8年6月29日）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本計画の算定による</w:t>
            </w:r>
          </w:p>
        </w:tc>
      </w:tr>
    </w:tbl>
    <w:p>
      <w:pPr>
        <w:spacing w:after="160" w:line="300"/>
      </w:pPr>
      <w:r>
        <w:rPr>
          <w:rFonts w:ascii="游ゴシック" w:cs="游ゴシック" w:eastAsia="游ゴシック" w:hAnsi="游ゴシック"/>
          <w:sz w:val="21"/>
          <w:szCs w:val="21"/>
        </w:rPr>
        <w:t xml:space="preserve"/>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60b40d71ebdeb399bc7ca4828d787b90308b55e0.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006169ede3d99dcbe08323d0b0f64868ea020617.png"/><Relationship Id="rId26" Type="http://schemas.openxmlformats.org/officeDocument/2006/relationships/image" Target="media/68f940da84dc8dc4c4d11f4bc2812526e5b77ab6.png"/><Relationship Id="rId27" Type="http://schemas.openxmlformats.org/officeDocument/2006/relationships/image" Target="media/c4aae76f3520550a8d58af86865bd4098163f5c2.png"/><Relationship Id="rId28" Type="http://schemas.openxmlformats.org/officeDocument/2006/relationships/image" Target="media/723447c6cbd7689a1ec64e806ebfe12b499dc876.png"/><Relationship Id="rId29" Type="http://schemas.openxmlformats.org/officeDocument/2006/relationships/image" Target="media/df7397870364abfc987013d01820c8cb4529a44a.png"/><Relationship Id="rId30" Type="http://schemas.openxmlformats.org/officeDocument/2006/relationships/image" Target="media/c869aab66d2f7fa1125ec922fe68d0809f0c95a1.png"/><Relationship Id="rId31" Type="http://schemas.openxmlformats.org/officeDocument/2006/relationships/image" Target="media/9ad0b4fa5d81bd1ad231b6264568683b9b2a55f0.png"/><Relationship Id="rId32" Type="http://schemas.openxmlformats.org/officeDocument/2006/relationships/image" Target="media/3d06d96bb60823e61760997b4189c5da52e8b50c.png"/><Relationship Id="rId33" Type="http://schemas.openxmlformats.org/officeDocument/2006/relationships/image" Target="media/7462f148abc3379be3886a4d187e883489283f96.png"/><Relationship Id="rId34" Type="http://schemas.openxmlformats.org/officeDocument/2006/relationships/image" Target="media/d9f1cd090c5ab68fed2f1e1374a9588c6d73feb4.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2026-10-01T23:31:06.601Z</dcterms:created>
  <dcterms:modified xsi:type="dcterms:W3CDTF">2026-10-01T23:31:06.601Z</dcterms:modified>
</cp:coreProperties>
</file>

<file path=docProps/custom.xml><?xml version="1.0" encoding="utf-8"?>
<Properties xmlns="http://schemas.openxmlformats.org/officeDocument/2006/custom-properties" xmlns:vt="http://schemas.openxmlformats.org/officeDocument/2006/docPropsVTypes"/>
</file>