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は「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の評価における「アウトリーチ等の取組状況」の得点が2.0点であり、全国平均5.1点に対し39.2％です（第3章第4節）。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④保険者機能強化推進交付金等による外部評価の分析により評価するものです。①から④は、いずれも令和6年度・令和7年度の2か年で成立し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7"/>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8"/>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令和6年度から選択制が導入された品目の影響を確認します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39"/>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976000" cy="3922763"/>
            <wp:docPr id="32" name="Picture 32"/>
            <wp:cNvGraphicFramePr>
              <a:graphicFrameLocks noChangeAspect="1"/>
            </wp:cNvGraphicFramePr>
            <a:graphic>
              <a:graphicData uri="http://schemas.openxmlformats.org/drawingml/2006/picture">
                <pic:pic>
                  <pic:nvPicPr>
                    <pic:cNvPr id="0" name="fig26_1_kofukin.png"/>
                    <pic:cNvPicPr/>
                  </pic:nvPicPr>
                  <pic:blipFill>
                    <a:blip r:embed="rId40"/>
                    <a:stretch>
                      <a:fillRect/>
                    </a:stretch>
                  </pic:blipFill>
                  <pic:spPr>
                    <a:xfrm>
                      <a:off x="0" y="0"/>
                      <a:ext cx="5976000" cy="3922763"/>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659"/>
          </w:tcPr>
          <w:p>
            <w:r/>
            <w:r>
              <w:rPr>
                <w:rFonts w:ascii="游ゴシック" w:hAnsi="游ゴシック" w:eastAsia="游ゴシック"/>
                <w:b/>
                <w:sz w:val="17"/>
              </w:rPr>
              <w:t>区分</w:t>
            </w:r>
          </w:p>
        </w:tc>
        <w:tc>
          <w:tcPr>
            <w:tcW w:type="dxa" w:w="1182"/>
          </w:tcPr>
          <w:p>
            <w:r/>
            <w:r>
              <w:rPr>
                <w:rFonts w:ascii="游ゴシック" w:hAnsi="游ゴシック" w:eastAsia="游ゴシック"/>
                <w:b/>
                <w:sz w:val="17"/>
              </w:rPr>
              <w:t>大雪</w:t>
            </w:r>
          </w:p>
        </w:tc>
        <w:tc>
          <w:tcPr>
            <w:tcW w:type="dxa" w:w="1182"/>
          </w:tcPr>
          <w:p>
            <w:r/>
            <w:r>
              <w:rPr>
                <w:rFonts w:ascii="游ゴシック" w:hAnsi="游ゴシック" w:eastAsia="游ゴシック"/>
                <w:b/>
                <w:sz w:val="17"/>
              </w:rPr>
              <w:t>北海道</w:t>
            </w:r>
          </w:p>
        </w:tc>
        <w:tc>
          <w:tcPr>
            <w:tcW w:type="dxa" w:w="1182"/>
          </w:tcPr>
          <w:p>
            <w:r/>
            <w:r>
              <w:rPr>
                <w:rFonts w:ascii="游ゴシック" w:hAnsi="游ゴシック" w:eastAsia="游ゴシック"/>
                <w:b/>
                <w:sz w:val="17"/>
              </w:rPr>
              <w:t>全国</w:t>
            </w:r>
          </w:p>
        </w:tc>
        <w:tc>
          <w:tcPr>
            <w:tcW w:type="dxa" w:w="985"/>
          </w:tcPr>
          <w:p>
            <w:r/>
            <w:r>
              <w:rPr>
                <w:rFonts w:ascii="游ゴシック" w:hAnsi="游ゴシック" w:eastAsia="游ゴシック"/>
                <w:b/>
                <w:sz w:val="17"/>
              </w:rPr>
              <w:t>対全国</w:t>
            </w:r>
          </w:p>
        </w:tc>
        <w:tc>
          <w:tcPr>
            <w:tcW w:type="dxa" w:w="2561"/>
          </w:tcPr>
          <w:p>
            <w:r/>
            <w:r>
              <w:rPr>
                <w:rFonts w:ascii="游ゴシック" w:hAnsi="游ゴシック" w:eastAsia="游ゴシック"/>
                <w:b/>
                <w:sz w:val="17"/>
              </w:rPr>
              <w:t>評価</w:t>
            </w:r>
          </w:p>
        </w:tc>
      </w:tr>
      <w:tr>
        <w:tc>
          <w:tcPr>
            <w:tcW w:type="dxa" w:w="2659"/>
          </w:tcPr>
          <w:p>
            <w:r/>
            <w:r>
              <w:rPr>
                <w:rFonts w:ascii="游ゴシック" w:hAnsi="游ゴシック" w:eastAsia="游ゴシック"/>
                <w:sz w:val="17"/>
              </w:rPr>
              <w:t>保険者機能強化推進交付金</w:t>
            </w:r>
          </w:p>
        </w:tc>
        <w:tc>
          <w:tcPr>
            <w:tcW w:type="dxa" w:w="1182"/>
          </w:tcPr>
          <w:p>
            <w:r/>
            <w:r>
              <w:rPr>
                <w:rFonts w:ascii="游ゴシック" w:hAnsi="游ゴシック" w:eastAsia="游ゴシック"/>
                <w:sz w:val="17"/>
              </w:rPr>
              <w:t>164.7点</w:t>
            </w:r>
          </w:p>
        </w:tc>
        <w:tc>
          <w:tcPr>
            <w:tcW w:type="dxa" w:w="1182"/>
          </w:tcPr>
          <w:p>
            <w:r/>
            <w:r>
              <w:rPr>
                <w:rFonts w:ascii="游ゴシック" w:hAnsi="游ゴシック" w:eastAsia="游ゴシック"/>
                <w:sz w:val="17"/>
              </w:rPr>
              <w:t>210.4点</w:t>
            </w:r>
          </w:p>
        </w:tc>
        <w:tc>
          <w:tcPr>
            <w:tcW w:type="dxa" w:w="1182"/>
          </w:tcPr>
          <w:p>
            <w:r/>
            <w:r>
              <w:rPr>
                <w:rFonts w:ascii="游ゴシック" w:hAnsi="游ゴシック" w:eastAsia="游ゴシック"/>
                <w:sz w:val="17"/>
              </w:rPr>
              <w:t>205.6点</w:t>
            </w:r>
          </w:p>
        </w:tc>
        <w:tc>
          <w:tcPr>
            <w:tcW w:type="dxa" w:w="985"/>
          </w:tcPr>
          <w:p>
            <w:r/>
            <w:r>
              <w:rPr>
                <w:rFonts w:ascii="游ゴシック" w:hAnsi="游ゴシック" w:eastAsia="游ゴシック"/>
                <w:sz w:val="17"/>
              </w:rPr>
              <w:t>80.1％</w:t>
            </w:r>
          </w:p>
        </w:tc>
        <w:tc>
          <w:tcPr>
            <w:tcW w:type="dxa" w:w="2561"/>
          </w:tcPr>
          <w:p>
            <w:r/>
            <w:r>
              <w:rPr>
                <w:rFonts w:ascii="游ゴシック" w:hAnsi="游ゴシック" w:eastAsia="游ゴシック"/>
                <w:sz w:val="17"/>
              </w:rPr>
              <w:t>全国平均を40.9点下回る</w:t>
            </w:r>
          </w:p>
        </w:tc>
      </w:tr>
      <w:tr>
        <w:tc>
          <w:tcPr>
            <w:tcW w:type="dxa" w:w="2659"/>
          </w:tcPr>
          <w:p>
            <w:r/>
            <w:r>
              <w:rPr>
                <w:rFonts w:ascii="游ゴシック" w:hAnsi="游ゴシック" w:eastAsia="游ゴシック"/>
                <w:sz w:val="17"/>
              </w:rPr>
              <w:t>介護保険保険者努力支援交付金</w:t>
            </w:r>
          </w:p>
        </w:tc>
        <w:tc>
          <w:tcPr>
            <w:tcW w:type="dxa" w:w="1182"/>
          </w:tcPr>
          <w:p>
            <w:r/>
            <w:r>
              <w:rPr>
                <w:rFonts w:ascii="游ゴシック" w:hAnsi="游ゴシック" w:eastAsia="游ゴシック"/>
                <w:sz w:val="17"/>
              </w:rPr>
              <w:t>167.3点</w:t>
            </w:r>
          </w:p>
        </w:tc>
        <w:tc>
          <w:tcPr>
            <w:tcW w:type="dxa" w:w="1182"/>
          </w:tcPr>
          <w:p>
            <w:r/>
            <w:r>
              <w:rPr>
                <w:rFonts w:ascii="游ゴシック" w:hAnsi="游ゴシック" w:eastAsia="游ゴシック"/>
                <w:sz w:val="17"/>
              </w:rPr>
              <w:t>203.3点</w:t>
            </w:r>
          </w:p>
        </w:tc>
        <w:tc>
          <w:tcPr>
            <w:tcW w:type="dxa" w:w="1182"/>
          </w:tcPr>
          <w:p>
            <w:r/>
            <w:r>
              <w:rPr>
                <w:rFonts w:ascii="游ゴシック" w:hAnsi="游ゴシック" w:eastAsia="游ゴシック"/>
                <w:sz w:val="17"/>
              </w:rPr>
              <w:t>216.7点</w:t>
            </w:r>
          </w:p>
        </w:tc>
        <w:tc>
          <w:tcPr>
            <w:tcW w:type="dxa" w:w="985"/>
          </w:tcPr>
          <w:p>
            <w:r/>
            <w:r>
              <w:rPr>
                <w:rFonts w:ascii="游ゴシック" w:hAnsi="游ゴシック" w:eastAsia="游ゴシック"/>
                <w:sz w:val="17"/>
              </w:rPr>
              <w:t>77.2％</w:t>
            </w:r>
          </w:p>
        </w:tc>
        <w:tc>
          <w:tcPr>
            <w:tcW w:type="dxa" w:w="2561"/>
          </w:tcPr>
          <w:p>
            <w:r/>
            <w:r>
              <w:rPr>
                <w:rFonts w:ascii="游ゴシック" w:hAnsi="游ゴシック" w:eastAsia="游ゴシック"/>
                <w:sz w:val="17"/>
              </w:rPr>
              <w:t>全国平均を49.4点下回る</w:t>
            </w:r>
          </w:p>
        </w:tc>
      </w:tr>
      <w:tr>
        <w:tc>
          <w:tcPr>
            <w:tcW w:type="dxa" w:w="2659"/>
          </w:tcPr>
          <w:p>
            <w:r/>
            <w:r>
              <w:rPr>
                <w:rFonts w:ascii="游ゴシック" w:hAnsi="游ゴシック" w:eastAsia="游ゴシック"/>
                <w:sz w:val="17"/>
              </w:rPr>
              <w:t>合計</w:t>
            </w:r>
          </w:p>
        </w:tc>
        <w:tc>
          <w:tcPr>
            <w:tcW w:type="dxa" w:w="1182"/>
          </w:tcPr>
          <w:p>
            <w:r/>
            <w:r>
              <w:rPr>
                <w:rFonts w:ascii="游ゴシック" w:hAnsi="游ゴシック" w:eastAsia="游ゴシック"/>
                <w:sz w:val="17"/>
              </w:rPr>
              <w:t>332.0点</w:t>
            </w:r>
          </w:p>
        </w:tc>
        <w:tc>
          <w:tcPr>
            <w:tcW w:type="dxa" w:w="1182"/>
          </w:tcPr>
          <w:p>
            <w:r/>
            <w:r>
              <w:rPr>
                <w:rFonts w:ascii="游ゴシック" w:hAnsi="游ゴシック" w:eastAsia="游ゴシック"/>
                <w:sz w:val="17"/>
              </w:rPr>
              <w:t>413.6点</w:t>
            </w:r>
          </w:p>
        </w:tc>
        <w:tc>
          <w:tcPr>
            <w:tcW w:type="dxa" w:w="1182"/>
          </w:tcPr>
          <w:p>
            <w:r/>
            <w:r>
              <w:rPr>
                <w:rFonts w:ascii="游ゴシック" w:hAnsi="游ゴシック" w:eastAsia="游ゴシック"/>
                <w:sz w:val="17"/>
              </w:rPr>
              <w:t>422.4点</w:t>
            </w:r>
          </w:p>
        </w:tc>
        <w:tc>
          <w:tcPr>
            <w:tcW w:type="dxa" w:w="985"/>
          </w:tcPr>
          <w:p>
            <w:r/>
            <w:r>
              <w:rPr>
                <w:rFonts w:ascii="游ゴシック" w:hAnsi="游ゴシック" w:eastAsia="游ゴシック"/>
                <w:sz w:val="17"/>
              </w:rPr>
              <w:t>78.6％</w:t>
            </w:r>
          </w:p>
        </w:tc>
        <w:tc>
          <w:tcPr>
            <w:tcW w:type="dxa" w:w="2561"/>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成果指標群と活動指標群の得点に差がある</w:t>
      </w:r>
    </w:p>
    <w:p>
      <w:pPr>
        <w:spacing w:before="140" w:after="20"/>
        <w:jc w:val="center"/>
      </w:pPr>
      <w:r>
        <w:drawing>
          <wp:inline xmlns:a="http://schemas.openxmlformats.org/drawingml/2006/main" xmlns:pic="http://schemas.openxmlformats.org/drawingml/2006/picture">
            <wp:extent cx="5976000" cy="3591537"/>
            <wp:docPr id="33" name="Picture 33"/>
            <wp:cNvGraphicFramePr>
              <a:graphicFrameLocks noChangeAspect="1"/>
            </wp:cNvGraphicFramePr>
            <a:graphic>
              <a:graphicData uri="http://schemas.openxmlformats.org/drawingml/2006/picture">
                <pic:pic>
                  <pic:nvPicPr>
                    <pic:cNvPr id="0" name="fig26_2_shihyogun.png"/>
                    <pic:cNvPicPr/>
                  </pic:nvPicPr>
                  <pic:blipFill>
                    <a:blip r:embed="rId41"/>
                    <a:stretch>
                      <a:fillRect/>
                    </a:stretch>
                  </pic:blipFill>
                  <pic:spPr>
                    <a:xfrm>
                      <a:off x="0" y="0"/>
                      <a:ext cx="5976000" cy="3591537"/>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82"/>
          </w:tcPr>
          <w:p>
            <w:r/>
            <w:r>
              <w:rPr>
                <w:rFonts w:ascii="游ゴシック" w:hAnsi="游ゴシック" w:eastAsia="游ゴシック"/>
                <w:b/>
                <w:sz w:val="17"/>
              </w:rPr>
              <w:t>交付金・指標群</w:t>
            </w:r>
          </w:p>
        </w:tc>
        <w:tc>
          <w:tcPr>
            <w:tcW w:type="dxa" w:w="1141"/>
          </w:tcPr>
          <w:p>
            <w:r/>
            <w:r>
              <w:rPr>
                <w:rFonts w:ascii="游ゴシック" w:hAnsi="游ゴシック" w:eastAsia="游ゴシック"/>
                <w:b/>
                <w:sz w:val="17"/>
              </w:rPr>
              <w:t>大雪</w:t>
            </w:r>
          </w:p>
        </w:tc>
        <w:tc>
          <w:tcPr>
            <w:tcW w:type="dxa" w:w="1141"/>
          </w:tcPr>
          <w:p>
            <w:r/>
            <w:r>
              <w:rPr>
                <w:rFonts w:ascii="游ゴシック" w:hAnsi="游ゴシック" w:eastAsia="游ゴシック"/>
                <w:b/>
                <w:sz w:val="17"/>
              </w:rPr>
              <w:t>北海道</w:t>
            </w:r>
          </w:p>
        </w:tc>
        <w:tc>
          <w:tcPr>
            <w:tcW w:type="dxa" w:w="1141"/>
          </w:tcPr>
          <w:p>
            <w:r/>
            <w:r>
              <w:rPr>
                <w:rFonts w:ascii="游ゴシック" w:hAnsi="游ゴシック" w:eastAsia="游ゴシック"/>
                <w:b/>
                <w:sz w:val="17"/>
              </w:rPr>
              <w:t>全国</w:t>
            </w:r>
          </w:p>
        </w:tc>
        <w:tc>
          <w:tcPr>
            <w:tcW w:type="dxa" w:w="1037"/>
          </w:tcPr>
          <w:p>
            <w:r/>
            <w:r>
              <w:rPr>
                <w:rFonts w:ascii="游ゴシック" w:hAnsi="游ゴシック" w:eastAsia="游ゴシック"/>
                <w:b/>
                <w:sz w:val="17"/>
              </w:rPr>
              <w:t>対全国</w:t>
            </w:r>
          </w:p>
        </w:tc>
        <w:tc>
          <w:tcPr>
            <w:tcW w:type="dxa" w:w="3008"/>
          </w:tcPr>
          <w:p>
            <w:r/>
            <w:r>
              <w:rPr>
                <w:rFonts w:ascii="游ゴシック" w:hAnsi="游ゴシック" w:eastAsia="游ゴシック"/>
                <w:b/>
                <w:sz w:val="17"/>
              </w:rPr>
              <w:t>内容</w:t>
            </w:r>
          </w:p>
        </w:tc>
      </w:tr>
      <w:tr>
        <w:tc>
          <w:tcPr>
            <w:tcW w:type="dxa" w:w="2282"/>
          </w:tcPr>
          <w:p>
            <w:r/>
            <w:r>
              <w:rPr>
                <w:rFonts w:ascii="游ゴシック" w:hAnsi="游ゴシック" w:eastAsia="游ゴシック"/>
                <w:sz w:val="17"/>
              </w:rPr>
              <w:t>推進　取組・体制指標群</w:t>
            </w:r>
          </w:p>
        </w:tc>
        <w:tc>
          <w:tcPr>
            <w:tcW w:type="dxa" w:w="1141"/>
          </w:tcPr>
          <w:p>
            <w:r/>
            <w:r>
              <w:rPr>
                <w:rFonts w:ascii="游ゴシック" w:hAnsi="游ゴシック" w:eastAsia="游ゴシック"/>
                <w:sz w:val="17"/>
              </w:rPr>
              <w:t>96.7点</w:t>
            </w:r>
          </w:p>
        </w:tc>
        <w:tc>
          <w:tcPr>
            <w:tcW w:type="dxa" w:w="1141"/>
          </w:tcPr>
          <w:p>
            <w:r/>
            <w:r>
              <w:rPr>
                <w:rFonts w:ascii="游ゴシック" w:hAnsi="游ゴシック" w:eastAsia="游ゴシック"/>
                <w:sz w:val="17"/>
              </w:rPr>
              <w:t>121.4点</w:t>
            </w:r>
          </w:p>
        </w:tc>
        <w:tc>
          <w:tcPr>
            <w:tcW w:type="dxa" w:w="1141"/>
          </w:tcPr>
          <w:p>
            <w:r/>
            <w:r>
              <w:rPr>
                <w:rFonts w:ascii="游ゴシック" w:hAnsi="游ゴシック" w:eastAsia="游ゴシック"/>
                <w:sz w:val="17"/>
              </w:rPr>
              <w:t>122.5点</w:t>
            </w:r>
          </w:p>
        </w:tc>
        <w:tc>
          <w:tcPr>
            <w:tcW w:type="dxa" w:w="1037"/>
          </w:tcPr>
          <w:p>
            <w:r/>
            <w:r>
              <w:rPr>
                <w:rFonts w:ascii="游ゴシック" w:hAnsi="游ゴシック" w:eastAsia="游ゴシック"/>
                <w:sz w:val="17"/>
              </w:rPr>
              <w:t>78.9％</w:t>
            </w:r>
          </w:p>
        </w:tc>
        <w:tc>
          <w:tcPr>
            <w:tcW w:type="dxa" w:w="3008"/>
          </w:tcPr>
          <w:p>
            <w:r/>
            <w:r>
              <w:rPr>
                <w:rFonts w:ascii="游ゴシック" w:hAnsi="游ゴシック" w:eastAsia="游ゴシック"/>
                <w:sz w:val="17"/>
              </w:rPr>
              <w:t>計画・体制の整備に関する指標</w:t>
            </w:r>
          </w:p>
        </w:tc>
      </w:tr>
      <w:tr>
        <w:tc>
          <w:tcPr>
            <w:tcW w:type="dxa" w:w="2282"/>
          </w:tcPr>
          <w:p>
            <w:r/>
            <w:r>
              <w:rPr>
                <w:rFonts w:ascii="游ゴシック" w:hAnsi="游ゴシック" w:eastAsia="游ゴシック"/>
                <w:sz w:val="17"/>
              </w:rPr>
              <w:t>推進　活動指標群</w:t>
            </w:r>
          </w:p>
        </w:tc>
        <w:tc>
          <w:tcPr>
            <w:tcW w:type="dxa" w:w="1141"/>
          </w:tcPr>
          <w:p>
            <w:r/>
            <w:r>
              <w:rPr>
                <w:rFonts w:ascii="游ゴシック" w:hAnsi="游ゴシック" w:eastAsia="游ゴシック"/>
                <w:sz w:val="17"/>
              </w:rPr>
              <w:t>8.0点</w:t>
            </w:r>
          </w:p>
        </w:tc>
        <w:tc>
          <w:tcPr>
            <w:tcW w:type="dxa" w:w="1141"/>
          </w:tcPr>
          <w:p>
            <w:r/>
            <w:r>
              <w:rPr>
                <w:rFonts w:ascii="游ゴシック" w:hAnsi="游ゴシック" w:eastAsia="游ゴシック"/>
                <w:sz w:val="17"/>
              </w:rPr>
              <w:t>33.2点</w:t>
            </w:r>
          </w:p>
        </w:tc>
        <w:tc>
          <w:tcPr>
            <w:tcW w:type="dxa" w:w="1141"/>
          </w:tcPr>
          <w:p>
            <w:r/>
            <w:r>
              <w:rPr>
                <w:rFonts w:ascii="游ゴシック" w:hAnsi="游ゴシック" w:eastAsia="游ゴシック"/>
                <w:sz w:val="17"/>
              </w:rPr>
              <w:t>34.5点</w:t>
            </w:r>
          </w:p>
        </w:tc>
        <w:tc>
          <w:tcPr>
            <w:tcW w:type="dxa" w:w="1037"/>
          </w:tcPr>
          <w:p>
            <w:r/>
            <w:r>
              <w:rPr>
                <w:rFonts w:ascii="游ゴシック" w:hAnsi="游ゴシック" w:eastAsia="游ゴシック"/>
                <w:sz w:val="17"/>
              </w:rPr>
              <w:t>23.2％</w:t>
            </w:r>
          </w:p>
        </w:tc>
        <w:tc>
          <w:tcPr>
            <w:tcW w:type="dxa" w:w="3008"/>
          </w:tcPr>
          <w:p>
            <w:r/>
            <w:r>
              <w:rPr>
                <w:rFonts w:ascii="游ゴシック" w:hAnsi="游ゴシック" w:eastAsia="游ゴシック"/>
                <w:sz w:val="17"/>
              </w:rPr>
              <w:t>実際の活動量を測る指標</w:t>
            </w:r>
          </w:p>
        </w:tc>
      </w:tr>
      <w:tr>
        <w:tc>
          <w:tcPr>
            <w:tcW w:type="dxa" w:w="2282"/>
          </w:tcPr>
          <w:p>
            <w:r/>
            <w:r>
              <w:rPr>
                <w:rFonts w:ascii="游ゴシック" w:hAnsi="游ゴシック" w:eastAsia="游ゴシック"/>
                <w:sz w:val="17"/>
              </w:rPr>
              <w:t>推進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要介護度の変化等のアウトカム</w:t>
            </w:r>
          </w:p>
        </w:tc>
      </w:tr>
      <w:tr>
        <w:tc>
          <w:tcPr>
            <w:tcW w:type="dxa" w:w="2282"/>
          </w:tcPr>
          <w:p>
            <w:r/>
            <w:r>
              <w:rPr>
                <w:rFonts w:ascii="游ゴシック" w:hAnsi="游ゴシック" w:eastAsia="游ゴシック"/>
                <w:sz w:val="17"/>
              </w:rPr>
              <w:t>支援　取組・体制指標群</w:t>
            </w:r>
          </w:p>
        </w:tc>
        <w:tc>
          <w:tcPr>
            <w:tcW w:type="dxa" w:w="1141"/>
          </w:tcPr>
          <w:p>
            <w:r/>
            <w:r>
              <w:rPr>
                <w:rFonts w:ascii="游ゴシック" w:hAnsi="游ゴシック" w:eastAsia="游ゴシック"/>
                <w:sz w:val="17"/>
              </w:rPr>
              <w:t>82.3点</w:t>
            </w:r>
          </w:p>
        </w:tc>
        <w:tc>
          <w:tcPr>
            <w:tcW w:type="dxa" w:w="1141"/>
          </w:tcPr>
          <w:p>
            <w:r/>
            <w:r>
              <w:rPr>
                <w:rFonts w:ascii="游ゴシック" w:hAnsi="游ゴシック" w:eastAsia="游ゴシック"/>
                <w:sz w:val="17"/>
              </w:rPr>
              <w:t>109.7点</w:t>
            </w:r>
          </w:p>
        </w:tc>
        <w:tc>
          <w:tcPr>
            <w:tcW w:type="dxa" w:w="1141"/>
          </w:tcPr>
          <w:p>
            <w:r/>
            <w:r>
              <w:rPr>
                <w:rFonts w:ascii="游ゴシック" w:hAnsi="游ゴシック" w:eastAsia="游ゴシック"/>
                <w:sz w:val="17"/>
              </w:rPr>
              <w:t>123.1点</w:t>
            </w:r>
          </w:p>
        </w:tc>
        <w:tc>
          <w:tcPr>
            <w:tcW w:type="dxa" w:w="1037"/>
          </w:tcPr>
          <w:p>
            <w:r/>
            <w:r>
              <w:rPr>
                <w:rFonts w:ascii="游ゴシック" w:hAnsi="游ゴシック" w:eastAsia="游ゴシック"/>
                <w:sz w:val="17"/>
              </w:rPr>
              <w:t>66.9％</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活動指標群</w:t>
            </w:r>
          </w:p>
        </w:tc>
        <w:tc>
          <w:tcPr>
            <w:tcW w:type="dxa" w:w="1141"/>
          </w:tcPr>
          <w:p>
            <w:r/>
            <w:r>
              <w:rPr>
                <w:rFonts w:ascii="游ゴシック" w:hAnsi="游ゴシック" w:eastAsia="游ゴシック"/>
                <w:sz w:val="17"/>
              </w:rPr>
              <w:t>25.0点</w:t>
            </w:r>
          </w:p>
        </w:tc>
        <w:tc>
          <w:tcPr>
            <w:tcW w:type="dxa" w:w="1141"/>
          </w:tcPr>
          <w:p>
            <w:r/>
            <w:r>
              <w:rPr>
                <w:rFonts w:ascii="游ゴシック" w:hAnsi="游ゴシック" w:eastAsia="游ゴシック"/>
                <w:sz w:val="17"/>
              </w:rPr>
              <w:t>37.8点</w:t>
            </w:r>
          </w:p>
        </w:tc>
        <w:tc>
          <w:tcPr>
            <w:tcW w:type="dxa" w:w="1141"/>
          </w:tcPr>
          <w:p>
            <w:r/>
            <w:r>
              <w:rPr>
                <w:rFonts w:ascii="游ゴシック" w:hAnsi="游ゴシック" w:eastAsia="游ゴシック"/>
                <w:sz w:val="17"/>
              </w:rPr>
              <w:t>45.0点</w:t>
            </w:r>
          </w:p>
        </w:tc>
        <w:tc>
          <w:tcPr>
            <w:tcW w:type="dxa" w:w="1037"/>
          </w:tcPr>
          <w:p>
            <w:r/>
            <w:r>
              <w:rPr>
                <w:rFonts w:ascii="游ゴシック" w:hAnsi="游ゴシック" w:eastAsia="游ゴシック"/>
                <w:sz w:val="17"/>
              </w:rPr>
              <w:t>55.6％</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の差が、①事業を実施していないこと、②実施しているが国の要件を満たしていないこと、③実施しているが国の様式で記録又は報告していないことのいずれによるかは、評価調書（資料No.5）を受領して確認します。現時点では未確認です。</w:t>
      </w:r>
    </w:p>
    <w:p>
      <w:pPr>
        <w:spacing w:after="80"/>
      </w:pPr>
      <w:r>
        <w:rPr>
          <w:rFonts w:ascii="游ゴシック" w:hAnsi="游ゴシック" w:eastAsia="游ゴシック"/>
          <w:b w:val="0"/>
          <w:sz w:val="20"/>
        </w:rPr>
        <w:t>第9期計画の第5章は「主な取組・管理指標・主体」の3列の表のみで、現状と課題、根拠データ、実施事業、アウトプット目標を持っていません。また、第9期計画には代表KPIの検証を計画期末に行う旨のみが定められており、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これらと交付金の得点との関係は現時点では確認していませんが、第10期で第5章をロジックモデルの構成に改め（第5章）、年次の進行管理の手順を定める（第1章第6節）ことにより、施策の実施状況を年度ごとに把握できるようにな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976000" cy="2632649"/>
            <wp:docPr id="34" name="Picture 34"/>
            <wp:cNvGraphicFramePr>
              <a:graphicFrameLocks noChangeAspect="1"/>
            </wp:cNvGraphicFramePr>
            <a:graphic>
              <a:graphicData uri="http://schemas.openxmlformats.org/drawingml/2006/picture">
                <pic:pic>
                  <pic:nvPicPr>
                    <pic:cNvPr id="0" name="fig26_3_mokuhyo.png"/>
                    <pic:cNvPicPr/>
                  </pic:nvPicPr>
                  <pic:blipFill>
                    <a:blip r:embed="rId42"/>
                    <a:stretch>
                      <a:fillRect/>
                    </a:stretch>
                  </pic:blipFill>
                  <pic:spPr>
                    <a:xfrm>
                      <a:off x="0" y="0"/>
                      <a:ext cx="5976000" cy="263264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16"/>
          </w:tcPr>
          <w:p>
            <w:r/>
            <w:r>
              <w:rPr>
                <w:rFonts w:ascii="游ゴシック" w:hAnsi="游ゴシック" w:eastAsia="游ゴシック"/>
                <w:b/>
                <w:sz w:val="17"/>
              </w:rPr>
              <w:t>目標</w:t>
            </w:r>
          </w:p>
        </w:tc>
        <w:tc>
          <w:tcPr>
            <w:tcW w:type="dxa" w:w="1106"/>
          </w:tcPr>
          <w:p>
            <w:r/>
            <w:r>
              <w:rPr>
                <w:rFonts w:ascii="游ゴシック" w:hAnsi="游ゴシック" w:eastAsia="游ゴシック"/>
                <w:b/>
                <w:sz w:val="17"/>
              </w:rPr>
              <w:t>大雪</w:t>
            </w:r>
          </w:p>
        </w:tc>
        <w:tc>
          <w:tcPr>
            <w:tcW w:type="dxa" w:w="1106"/>
          </w:tcPr>
          <w:p>
            <w:r/>
            <w:r>
              <w:rPr>
                <w:rFonts w:ascii="游ゴシック" w:hAnsi="游ゴシック" w:eastAsia="游ゴシック"/>
                <w:b/>
                <w:sz w:val="17"/>
              </w:rPr>
              <w:t>全国</w:t>
            </w:r>
          </w:p>
        </w:tc>
        <w:tc>
          <w:tcPr>
            <w:tcW w:type="dxa" w:w="1005"/>
          </w:tcPr>
          <w:p>
            <w:r/>
            <w:r>
              <w:rPr>
                <w:rFonts w:ascii="游ゴシック" w:hAnsi="游ゴシック" w:eastAsia="游ゴシック"/>
                <w:b/>
                <w:sz w:val="17"/>
              </w:rPr>
              <w:t>対全国</w:t>
            </w:r>
          </w:p>
        </w:tc>
        <w:tc>
          <w:tcPr>
            <w:tcW w:type="dxa" w:w="3518"/>
          </w:tcPr>
          <w:p>
            <w:r/>
            <w:r>
              <w:rPr>
                <w:rFonts w:ascii="游ゴシック" w:hAnsi="游ゴシック" w:eastAsia="游ゴシック"/>
                <w:b/>
                <w:sz w:val="17"/>
              </w:rPr>
              <w:t>第10期での対応</w:t>
            </w:r>
          </w:p>
        </w:tc>
      </w:tr>
      <w:tr>
        <w:tc>
          <w:tcPr>
            <w:tcW w:type="dxa" w:w="3016"/>
          </w:tcPr>
          <w:p>
            <w:r/>
            <w:r>
              <w:rPr>
                <w:rFonts w:ascii="游ゴシック" w:hAnsi="游ゴシック" w:eastAsia="游ゴシック"/>
                <w:sz w:val="17"/>
              </w:rPr>
              <w:t>推進Ⅰ 持続可能な地域のあるべき姿をかたちにする</w:t>
            </w:r>
          </w:p>
        </w:tc>
        <w:tc>
          <w:tcPr>
            <w:tcW w:type="dxa" w:w="1106"/>
          </w:tcPr>
          <w:p>
            <w:r/>
            <w:r>
              <w:rPr>
                <w:rFonts w:ascii="游ゴシック" w:hAnsi="游ゴシック" w:eastAsia="游ゴシック"/>
                <w:sz w:val="17"/>
              </w:rPr>
              <w:t>40.3点</w:t>
            </w:r>
          </w:p>
        </w:tc>
        <w:tc>
          <w:tcPr>
            <w:tcW w:type="dxa" w:w="1106"/>
          </w:tcPr>
          <w:p>
            <w:r/>
            <w:r>
              <w:rPr>
                <w:rFonts w:ascii="游ゴシック" w:hAnsi="游ゴシック" w:eastAsia="游ゴシック"/>
                <w:sz w:val="17"/>
              </w:rPr>
              <w:t>56.2点</w:t>
            </w:r>
          </w:p>
        </w:tc>
        <w:tc>
          <w:tcPr>
            <w:tcW w:type="dxa" w:w="1005"/>
          </w:tcPr>
          <w:p>
            <w:r/>
            <w:r>
              <w:rPr>
                <w:rFonts w:ascii="游ゴシック" w:hAnsi="游ゴシック" w:eastAsia="游ゴシック"/>
                <w:sz w:val="17"/>
              </w:rPr>
              <w:t>71.7％</w:t>
            </w:r>
          </w:p>
        </w:tc>
        <w:tc>
          <w:tcPr>
            <w:tcW w:type="dxa" w:w="3518"/>
          </w:tcPr>
          <w:p>
            <w:r/>
            <w:r>
              <w:rPr>
                <w:rFonts w:ascii="游ゴシック" w:hAnsi="游ゴシック" w:eastAsia="游ゴシック"/>
                <w:sz w:val="17"/>
              </w:rPr>
              <w:t>年次の進行管理の手順を第1章第6節に明記</w:t>
            </w:r>
          </w:p>
        </w:tc>
      </w:tr>
      <w:tr>
        <w:tc>
          <w:tcPr>
            <w:tcW w:type="dxa" w:w="3016"/>
          </w:tcPr>
          <w:p>
            <w:r/>
            <w:r>
              <w:rPr>
                <w:rFonts w:ascii="游ゴシック" w:hAnsi="游ゴシック" w:eastAsia="游ゴシック"/>
                <w:sz w:val="17"/>
              </w:rPr>
              <w:t>推進Ⅱ 公正・公平な給付を行う体制を構築する</w:t>
            </w:r>
          </w:p>
        </w:tc>
        <w:tc>
          <w:tcPr>
            <w:tcW w:type="dxa" w:w="1106"/>
          </w:tcPr>
          <w:p>
            <w:r/>
            <w:r>
              <w:rPr>
                <w:rFonts w:ascii="游ゴシック" w:hAnsi="游ゴシック" w:eastAsia="游ゴシック"/>
                <w:sz w:val="17"/>
              </w:rPr>
              <w:t>23.3点</w:t>
            </w:r>
          </w:p>
        </w:tc>
        <w:tc>
          <w:tcPr>
            <w:tcW w:type="dxa" w:w="1106"/>
          </w:tcPr>
          <w:p>
            <w:r/>
            <w:r>
              <w:rPr>
                <w:rFonts w:ascii="游ゴシック" w:hAnsi="游ゴシック" w:eastAsia="游ゴシック"/>
                <w:sz w:val="17"/>
              </w:rPr>
              <w:t>59.8点</w:t>
            </w:r>
          </w:p>
        </w:tc>
        <w:tc>
          <w:tcPr>
            <w:tcW w:type="dxa" w:w="1005"/>
          </w:tcPr>
          <w:p>
            <w:r/>
            <w:r>
              <w:rPr>
                <w:rFonts w:ascii="游ゴシック" w:hAnsi="游ゴシック" w:eastAsia="游ゴシック"/>
                <w:sz w:val="17"/>
              </w:rPr>
              <w:t>39.0％</w:t>
            </w:r>
          </w:p>
        </w:tc>
        <w:tc>
          <w:tcPr>
            <w:tcW w:type="dxa" w:w="3518"/>
          </w:tcPr>
          <w:p>
            <w:r/>
            <w:r>
              <w:rPr>
                <w:rFonts w:ascii="游ゴシック" w:hAnsi="游ゴシック" w:eastAsia="游ゴシック"/>
                <w:sz w:val="17"/>
              </w:rPr>
              <w:t>給付適正化を基本目標5に位置づけ、ケアプラン点検等をアウトプット指標とする</w:t>
            </w:r>
          </w:p>
        </w:tc>
      </w:tr>
      <w:tr>
        <w:tc>
          <w:tcPr>
            <w:tcW w:type="dxa" w:w="3016"/>
          </w:tcPr>
          <w:p>
            <w:r/>
            <w:r>
              <w:rPr>
                <w:rFonts w:ascii="游ゴシック" w:hAnsi="游ゴシック" w:eastAsia="游ゴシック"/>
                <w:sz w:val="17"/>
              </w:rPr>
              <w:t>推進Ⅲ 介護人材の確保その他のサービス提供基盤の整備</w:t>
            </w:r>
          </w:p>
        </w:tc>
        <w:tc>
          <w:tcPr>
            <w:tcW w:type="dxa" w:w="1106"/>
          </w:tcPr>
          <w:p>
            <w:r/>
            <w:r>
              <w:rPr>
                <w:rFonts w:ascii="游ゴシック" w:hAnsi="游ゴシック" w:eastAsia="游ゴシック"/>
                <w:sz w:val="17"/>
              </w:rPr>
              <w:t>41.0点</w:t>
            </w:r>
          </w:p>
        </w:tc>
        <w:tc>
          <w:tcPr>
            <w:tcW w:type="dxa" w:w="1106"/>
          </w:tcPr>
          <w:p>
            <w:r/>
            <w:r>
              <w:rPr>
                <w:rFonts w:ascii="游ゴシック" w:hAnsi="游ゴシック" w:eastAsia="游ゴシック"/>
                <w:sz w:val="17"/>
              </w:rPr>
              <w:t>41.0点</w:t>
            </w:r>
          </w:p>
        </w:tc>
        <w:tc>
          <w:tcPr>
            <w:tcW w:type="dxa" w:w="1005"/>
          </w:tcPr>
          <w:p>
            <w:r/>
            <w:r>
              <w:rPr>
                <w:rFonts w:ascii="游ゴシック" w:hAnsi="游ゴシック" w:eastAsia="游ゴシック"/>
                <w:sz w:val="17"/>
              </w:rPr>
              <w:t>100.0％</w:t>
            </w:r>
          </w:p>
        </w:tc>
        <w:tc>
          <w:tcPr>
            <w:tcW w:type="dxa" w:w="3518"/>
          </w:tcPr>
          <w:p>
            <w:r/>
            <w:r>
              <w:rPr>
                <w:rFonts w:ascii="游ゴシック" w:hAnsi="游ゴシック" w:eastAsia="游ゴシック"/>
                <w:sz w:val="17"/>
              </w:rPr>
              <w:t>全国平均と同点。介護支援専門員に対する研修が課題</w:t>
            </w:r>
          </w:p>
        </w:tc>
      </w:tr>
      <w:tr>
        <w:tc>
          <w:tcPr>
            <w:tcW w:type="dxa" w:w="3016"/>
          </w:tcPr>
          <w:p>
            <w:r/>
            <w:r>
              <w:rPr>
                <w:rFonts w:ascii="游ゴシック" w:hAnsi="游ゴシック" w:eastAsia="游ゴシック"/>
                <w:sz w:val="17"/>
              </w:rPr>
              <w:t>支援Ⅰ 介護予防／日常生活支援を推進する</w:t>
            </w:r>
          </w:p>
        </w:tc>
        <w:tc>
          <w:tcPr>
            <w:tcW w:type="dxa" w:w="1106"/>
          </w:tcPr>
          <w:p>
            <w:r/>
            <w:r>
              <w:rPr>
                <w:rFonts w:ascii="游ゴシック" w:hAnsi="游ゴシック" w:eastAsia="游ゴシック"/>
                <w:sz w:val="17"/>
              </w:rPr>
              <w:t>47.3点</w:t>
            </w:r>
          </w:p>
        </w:tc>
        <w:tc>
          <w:tcPr>
            <w:tcW w:type="dxa" w:w="1106"/>
          </w:tcPr>
          <w:p>
            <w:r/>
            <w:r>
              <w:rPr>
                <w:rFonts w:ascii="游ゴシック" w:hAnsi="游ゴシック" w:eastAsia="游ゴシック"/>
                <w:sz w:val="17"/>
              </w:rPr>
              <w:t>51.5点</w:t>
            </w:r>
          </w:p>
        </w:tc>
        <w:tc>
          <w:tcPr>
            <w:tcW w:type="dxa" w:w="1005"/>
          </w:tcPr>
          <w:p>
            <w:r/>
            <w:r>
              <w:rPr>
                <w:rFonts w:ascii="游ゴシック" w:hAnsi="游ゴシック" w:eastAsia="游ゴシック"/>
                <w:sz w:val="17"/>
              </w:rPr>
              <w:t>91.8％</w:t>
            </w:r>
          </w:p>
        </w:tc>
        <w:tc>
          <w:tcPr>
            <w:tcW w:type="dxa" w:w="3518"/>
          </w:tcPr>
          <w:p>
            <w:r/>
            <w:r>
              <w:rPr>
                <w:rFonts w:ascii="游ゴシック" w:hAnsi="游ゴシック" w:eastAsia="游ゴシック"/>
                <w:sz w:val="17"/>
              </w:rPr>
              <w:t>アウトリーチ、地域包括支援センター事業評価が課題</w:t>
            </w:r>
          </w:p>
        </w:tc>
      </w:tr>
      <w:tr>
        <w:tc>
          <w:tcPr>
            <w:tcW w:type="dxa" w:w="3016"/>
          </w:tcPr>
          <w:p>
            <w:r/>
            <w:r>
              <w:rPr>
                <w:rFonts w:ascii="游ゴシック" w:hAnsi="游ゴシック" w:eastAsia="游ゴシック"/>
                <w:sz w:val="17"/>
              </w:rPr>
              <w:t>支援Ⅱ 認知症総合支援を推進する</w:t>
            </w:r>
          </w:p>
        </w:tc>
        <w:tc>
          <w:tcPr>
            <w:tcW w:type="dxa" w:w="1106"/>
          </w:tcPr>
          <w:p>
            <w:r/>
            <w:r>
              <w:rPr>
                <w:rFonts w:ascii="游ゴシック" w:hAnsi="游ゴシック" w:eastAsia="游ゴシック"/>
                <w:sz w:val="17"/>
              </w:rPr>
              <w:t>36.3点</w:t>
            </w:r>
          </w:p>
        </w:tc>
        <w:tc>
          <w:tcPr>
            <w:tcW w:type="dxa" w:w="1106"/>
          </w:tcPr>
          <w:p>
            <w:r/>
            <w:r>
              <w:rPr>
                <w:rFonts w:ascii="游ゴシック" w:hAnsi="游ゴシック" w:eastAsia="游ゴシック"/>
                <w:sz w:val="17"/>
              </w:rPr>
              <w:t>54.5点</w:t>
            </w:r>
          </w:p>
        </w:tc>
        <w:tc>
          <w:tcPr>
            <w:tcW w:type="dxa" w:w="1005"/>
          </w:tcPr>
          <w:p>
            <w:r/>
            <w:r>
              <w:rPr>
                <w:rFonts w:ascii="游ゴシック" w:hAnsi="游ゴシック" w:eastAsia="游ゴシック"/>
                <w:sz w:val="17"/>
              </w:rPr>
              <w:t>66.6％</w:t>
            </w:r>
          </w:p>
        </w:tc>
        <w:tc>
          <w:tcPr>
            <w:tcW w:type="dxa" w:w="3518"/>
          </w:tcPr>
          <w:p>
            <w:r/>
            <w:r>
              <w:rPr>
                <w:rFonts w:ascii="游ゴシック" w:hAnsi="游ゴシック" w:eastAsia="游ゴシック"/>
                <w:sz w:val="17"/>
              </w:rPr>
              <w:t>認知症施策を基本目標2の重点とする</w:t>
            </w:r>
          </w:p>
        </w:tc>
      </w:tr>
      <w:tr>
        <w:tc>
          <w:tcPr>
            <w:tcW w:type="dxa" w:w="3016"/>
          </w:tcPr>
          <w:p>
            <w:r/>
            <w:r>
              <w:rPr>
                <w:rFonts w:ascii="游ゴシック" w:hAnsi="游ゴシック" w:eastAsia="游ゴシック"/>
                <w:sz w:val="17"/>
              </w:rPr>
              <w:t>支援Ⅲ 在宅医療・在宅介護連携の体制を構築する</w:t>
            </w:r>
          </w:p>
        </w:tc>
        <w:tc>
          <w:tcPr>
            <w:tcW w:type="dxa" w:w="1106"/>
          </w:tcPr>
          <w:p>
            <w:r/>
            <w:r>
              <w:rPr>
                <w:rFonts w:ascii="游ゴシック" w:hAnsi="游ゴシック" w:eastAsia="游ゴシック"/>
                <w:sz w:val="17"/>
              </w:rPr>
              <w:t>23.7点</w:t>
            </w:r>
          </w:p>
        </w:tc>
        <w:tc>
          <w:tcPr>
            <w:tcW w:type="dxa" w:w="1106"/>
          </w:tcPr>
          <w:p>
            <w:r/>
            <w:r>
              <w:rPr>
                <w:rFonts w:ascii="游ゴシック" w:hAnsi="游ゴシック" w:eastAsia="游ゴシック"/>
                <w:sz w:val="17"/>
              </w:rPr>
              <w:t>62.1点</w:t>
            </w:r>
          </w:p>
        </w:tc>
        <w:tc>
          <w:tcPr>
            <w:tcW w:type="dxa" w:w="1005"/>
          </w:tcPr>
          <w:p>
            <w:r/>
            <w:r>
              <w:rPr>
                <w:rFonts w:ascii="游ゴシック" w:hAnsi="游ゴシック" w:eastAsia="游ゴシック"/>
                <w:sz w:val="17"/>
              </w:rPr>
              <w:t>38.2％</w:t>
            </w:r>
          </w:p>
        </w:tc>
        <w:tc>
          <w:tcPr>
            <w:tcW w:type="dxa" w:w="3518"/>
          </w:tcPr>
          <w:p>
            <w:r/>
            <w:r>
              <w:rPr>
                <w:rFonts w:ascii="游ゴシック" w:hAnsi="游ゴシック" w:eastAsia="游ゴシック"/>
                <w:sz w:val="17"/>
              </w:rPr>
              <w:t>H09（退院時支援調整実施率）を新設し、入退院支援・看取りの体制を整備</w:t>
            </w:r>
          </w:p>
        </w:tc>
      </w:tr>
      <w:tr>
        <w:tc>
          <w:tcPr>
            <w:tcW w:type="dxa" w:w="3016"/>
          </w:tcPr>
          <w:p>
            <w:r/>
            <w:r>
              <w:rPr>
                <w:rFonts w:ascii="游ゴシック" w:hAnsi="游ゴシック" w:eastAsia="游ゴシック"/>
                <w:sz w:val="17"/>
              </w:rPr>
              <w:t>共通Ⅳ 高齢者が可能な限り自立した日常生活を営む</w:t>
            </w:r>
          </w:p>
        </w:tc>
        <w:tc>
          <w:tcPr>
            <w:tcW w:type="dxa" w:w="1106"/>
          </w:tcPr>
          <w:p>
            <w:r/>
            <w:r>
              <w:rPr>
                <w:rFonts w:ascii="游ゴシック" w:hAnsi="游ゴシック" w:eastAsia="游ゴシック"/>
                <w:sz w:val="17"/>
              </w:rPr>
              <w:t>60.0点</w:t>
            </w:r>
          </w:p>
        </w:tc>
        <w:tc>
          <w:tcPr>
            <w:tcW w:type="dxa" w:w="1106"/>
          </w:tcPr>
          <w:p>
            <w:r/>
            <w:r>
              <w:rPr>
                <w:rFonts w:ascii="游ゴシック" w:hAnsi="游ゴシック" w:eastAsia="游ゴシック"/>
                <w:sz w:val="17"/>
              </w:rPr>
              <w:t>48.6点</w:t>
            </w:r>
          </w:p>
        </w:tc>
        <w:tc>
          <w:tcPr>
            <w:tcW w:type="dxa" w:w="1005"/>
          </w:tcPr>
          <w:p>
            <w:r/>
            <w:r>
              <w:rPr>
                <w:rFonts w:ascii="游ゴシック" w:hAnsi="游ゴシック" w:eastAsia="游ゴシック"/>
                <w:sz w:val="17"/>
              </w:rPr>
              <w:t>123.5％</w:t>
            </w:r>
          </w:p>
        </w:tc>
        <w:tc>
          <w:tcPr>
            <w:tcW w:type="dxa" w:w="3518"/>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026"/>
          </w:tcPr>
          <w:p>
            <w:r/>
            <w:r>
              <w:rPr>
                <w:rFonts w:ascii="游ゴシック" w:hAnsi="游ゴシック" w:eastAsia="游ゴシック"/>
                <w:b/>
                <w:sz w:val="17"/>
              </w:rPr>
              <w:t>目標</w:t>
            </w:r>
          </w:p>
        </w:tc>
        <w:tc>
          <w:tcPr>
            <w:tcW w:type="dxa" w:w="3079"/>
          </w:tcPr>
          <w:p>
            <w:r/>
            <w:r>
              <w:rPr>
                <w:rFonts w:ascii="游ゴシック" w:hAnsi="游ゴシック" w:eastAsia="游ゴシック"/>
                <w:b/>
                <w:sz w:val="17"/>
              </w:rPr>
              <w:t>評価項目</w:t>
            </w:r>
          </w:p>
        </w:tc>
        <w:tc>
          <w:tcPr>
            <w:tcW w:type="dxa" w:w="924"/>
          </w:tcPr>
          <w:p>
            <w:r/>
            <w:r>
              <w:rPr>
                <w:rFonts w:ascii="游ゴシック" w:hAnsi="游ゴシック" w:eastAsia="游ゴシック"/>
                <w:b/>
                <w:sz w:val="17"/>
              </w:rPr>
              <w:t>大雪</w:t>
            </w:r>
          </w:p>
        </w:tc>
        <w:tc>
          <w:tcPr>
            <w:tcW w:type="dxa" w:w="924"/>
          </w:tcPr>
          <w:p>
            <w:r/>
            <w:r>
              <w:rPr>
                <w:rFonts w:ascii="游ゴシック" w:hAnsi="游ゴシック" w:eastAsia="游ゴシック"/>
                <w:b/>
                <w:sz w:val="17"/>
              </w:rPr>
              <w:t>全国</w:t>
            </w:r>
          </w:p>
        </w:tc>
        <w:tc>
          <w:tcPr>
            <w:tcW w:type="dxa" w:w="1026"/>
          </w:tcPr>
          <w:p>
            <w:r/>
            <w:r>
              <w:rPr>
                <w:rFonts w:ascii="游ゴシック" w:hAnsi="游ゴシック" w:eastAsia="游ゴシック"/>
                <w:b/>
                <w:sz w:val="17"/>
              </w:rPr>
              <w:t>対全国</w:t>
            </w:r>
          </w:p>
        </w:tc>
        <w:tc>
          <w:tcPr>
            <w:tcW w:type="dxa" w:w="2771"/>
          </w:tcPr>
          <w:p>
            <w:r/>
            <w:r>
              <w:rPr>
                <w:rFonts w:ascii="游ゴシック" w:hAnsi="游ゴシック" w:eastAsia="游ゴシック"/>
                <w:b/>
                <w:sz w:val="17"/>
              </w:rPr>
              <w:t>備考</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生活支援コーディネーター数</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206.2％</w:t>
            </w:r>
          </w:p>
        </w:tc>
        <w:tc>
          <w:tcPr>
            <w:tcW w:type="dxa" w:w="2771"/>
          </w:tcPr>
          <w:p>
            <w:r/>
            <w:r>
              <w:rPr>
                <w:rFonts w:ascii="游ゴシック" w:hAnsi="游ゴシック" w:eastAsia="游ゴシック"/>
                <w:sz w:val="17"/>
              </w:rPr>
              <w:t>北海道の評価指標②が対象とする分野の強み</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長期的な要介護度の変化（要介護3～5）</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8.0点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長期的な要介護度の変化（要介護1・2）</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8.1点</w:t>
            </w:r>
          </w:p>
        </w:tc>
        <w:tc>
          <w:tcPr>
            <w:tcW w:type="dxa" w:w="1026"/>
          </w:tcPr>
          <w:p>
            <w:r/>
            <w:r>
              <w:rPr>
                <w:rFonts w:ascii="游ゴシック" w:hAnsi="游ゴシック" w:eastAsia="游ゴシック"/>
                <w:sz w:val="17"/>
              </w:rPr>
              <w:t>185.2％</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地域ケア会議における個別事例の検討</w:t>
            </w:r>
          </w:p>
        </w:tc>
        <w:tc>
          <w:tcPr>
            <w:tcW w:type="dxa" w:w="924"/>
          </w:tcPr>
          <w:p>
            <w:r/>
            <w:r>
              <w:rPr>
                <w:rFonts w:ascii="游ゴシック" w:hAnsi="游ゴシック" w:eastAsia="游ゴシック"/>
                <w:sz w:val="17"/>
              </w:rPr>
              <w:t>3.0点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北海道の評価指標①が対象とする分野の強み</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通いの場等における心身・認知機能の把握</w:t>
            </w:r>
          </w:p>
        </w:tc>
        <w:tc>
          <w:tcPr>
            <w:tcW w:type="dxa" w:w="924"/>
          </w:tcPr>
          <w:p>
            <w:r/>
            <w:r>
              <w:rPr>
                <w:rFonts w:ascii="游ゴシック" w:hAnsi="游ゴシック" w:eastAsia="游ゴシック"/>
                <w:sz w:val="17"/>
              </w:rPr>
              <w:t>1.7点</w:t>
            </w:r>
          </w:p>
        </w:tc>
        <w:tc>
          <w:tcPr>
            <w:tcW w:type="dxa" w:w="924"/>
          </w:tcPr>
          <w:p>
            <w:r/>
            <w:r>
              <w:rPr>
                <w:rFonts w:ascii="游ゴシック" w:hAnsi="游ゴシック" w:eastAsia="游ゴシック"/>
                <w:sz w:val="17"/>
              </w:rPr>
              <w:t>1.1点</w:t>
            </w:r>
          </w:p>
        </w:tc>
        <w:tc>
          <w:tcPr>
            <w:tcW w:type="dxa" w:w="1026"/>
          </w:tcPr>
          <w:p>
            <w:r/>
            <w:r>
              <w:rPr>
                <w:rFonts w:ascii="游ゴシック" w:hAnsi="游ゴシック" w:eastAsia="游ゴシック"/>
                <w:sz w:val="17"/>
              </w:rPr>
              <w:t>154.5％</w:t>
            </w:r>
          </w:p>
        </w:tc>
        <w:tc>
          <w:tcPr>
            <w:tcW w:type="dxa" w:w="2771"/>
          </w:tcPr>
          <w:p>
            <w:r/>
            <w:r>
              <w:rPr>
                <w:rFonts w:ascii="游ゴシック" w:hAnsi="游ゴシック" w:eastAsia="游ゴシック"/>
                <w:sz w:val="17"/>
              </w:rPr>
              <w:t>通いの場は3箇所だが運営の質は評価されている</w:t>
            </w:r>
          </w:p>
        </w:tc>
      </w:tr>
      <w:tr>
        <w:tc>
          <w:tcPr>
            <w:tcW w:type="dxa" w:w="1026"/>
          </w:tcPr>
          <w:p>
            <w:r/>
            <w:r>
              <w:rPr>
                <w:rFonts w:ascii="游ゴシック" w:hAnsi="游ゴシック" w:eastAsia="游ゴシック"/>
                <w:sz w:val="17"/>
              </w:rPr>
              <w:t>推進Ⅰ</w:t>
            </w:r>
          </w:p>
        </w:tc>
        <w:tc>
          <w:tcPr>
            <w:tcW w:type="dxa" w:w="3079"/>
          </w:tcPr>
          <w:p>
            <w:r/>
            <w:r>
              <w:rPr>
                <w:rFonts w:ascii="游ゴシック" w:hAnsi="游ゴシック" w:eastAsia="游ゴシック"/>
                <w:sz w:val="17"/>
              </w:rPr>
              <w:t>後期高齢者数と給付費の伸び率の比較</w:t>
            </w:r>
          </w:p>
        </w:tc>
        <w:tc>
          <w:tcPr>
            <w:tcW w:type="dxa" w:w="924"/>
          </w:tcPr>
          <w:p>
            <w:r/>
            <w:r>
              <w:rPr>
                <w:rFonts w:ascii="游ゴシック" w:hAnsi="游ゴシック" w:eastAsia="游ゴシック"/>
                <w:sz w:val="17"/>
              </w:rPr>
              <w:t>7.0点</w:t>
            </w:r>
          </w:p>
        </w:tc>
        <w:tc>
          <w:tcPr>
            <w:tcW w:type="dxa" w:w="924"/>
          </w:tcPr>
          <w:p>
            <w:r/>
            <w:r>
              <w:rPr>
                <w:rFonts w:ascii="游ゴシック" w:hAnsi="游ゴシック" w:eastAsia="游ゴシック"/>
                <w:sz w:val="17"/>
              </w:rPr>
              <w:t>4.8点</w:t>
            </w:r>
          </w:p>
        </w:tc>
        <w:tc>
          <w:tcPr>
            <w:tcW w:type="dxa" w:w="1026"/>
          </w:tcPr>
          <w:p>
            <w:r/>
            <w:r>
              <w:rPr>
                <w:rFonts w:ascii="游ゴシック" w:hAnsi="游ゴシック" w:eastAsia="游ゴシック"/>
                <w:sz w:val="17"/>
              </w:rPr>
              <w:t>145.8％</w:t>
            </w:r>
          </w:p>
        </w:tc>
        <w:tc>
          <w:tcPr>
            <w:tcW w:type="dxa" w:w="2771"/>
          </w:tcPr>
          <w:p>
            <w:r/>
            <w:r>
              <w:rPr>
                <w:rFonts w:ascii="游ゴシック" w:hAnsi="游ゴシック" w:eastAsia="游ゴシック"/>
                <w:sz w:val="17"/>
              </w:rPr>
              <w:t>給付費の分析そのものは行われている</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総合事業における多様なサービスの実施</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2.3点</w:t>
            </w:r>
          </w:p>
        </w:tc>
        <w:tc>
          <w:tcPr>
            <w:tcW w:type="dxa" w:w="1026"/>
          </w:tcPr>
          <w:p>
            <w:r/>
            <w:r>
              <w:rPr>
                <w:rFonts w:ascii="游ゴシック" w:hAnsi="游ゴシック" w:eastAsia="游ゴシック"/>
                <w:sz w:val="17"/>
              </w:rPr>
              <w:t>143.5％</w:t>
            </w:r>
          </w:p>
        </w:tc>
        <w:tc>
          <w:tcPr>
            <w:tcW w:type="dxa" w:w="2771"/>
          </w:tcPr>
          <w:p>
            <w:r/>
            <w:r>
              <w:rPr>
                <w:rFonts w:ascii="游ゴシック" w:hAnsi="游ゴシック" w:eastAsia="游ゴシック"/>
                <w:sz w:val="17"/>
              </w:rPr>
              <w:t>北海道の評価指標②と整合</w:t>
            </w:r>
          </w:p>
        </w:tc>
      </w:tr>
      <w:tr>
        <w:tc>
          <w:tcPr>
            <w:tcW w:type="dxa" w:w="1026"/>
          </w:tcPr>
          <w:p>
            <w:r/>
            <w:r>
              <w:rPr>
                <w:rFonts w:ascii="游ゴシック" w:hAnsi="游ゴシック" w:eastAsia="游ゴシック"/>
                <w:sz w:val="17"/>
              </w:rPr>
              <w:t>推進Ⅲ</w:t>
            </w:r>
          </w:p>
        </w:tc>
        <w:tc>
          <w:tcPr>
            <w:tcW w:type="dxa" w:w="3079"/>
          </w:tcPr>
          <w:p>
            <w:r/>
            <w:r>
              <w:rPr>
                <w:rFonts w:ascii="游ゴシック" w:hAnsi="游ゴシック" w:eastAsia="游ゴシック"/>
                <w:sz w:val="17"/>
              </w:rPr>
              <w:t>庁内・庁外における連携体制</w:t>
            </w:r>
          </w:p>
        </w:tc>
        <w:tc>
          <w:tcPr>
            <w:tcW w:type="dxa" w:w="924"/>
          </w:tcPr>
          <w:p>
            <w:r/>
            <w:r>
              <w:rPr>
                <w:rFonts w:ascii="游ゴシック" w:hAnsi="游ゴシック" w:eastAsia="游ゴシック"/>
                <w:sz w:val="17"/>
              </w:rPr>
              <w:t>24.0点</w:t>
            </w:r>
          </w:p>
        </w:tc>
        <w:tc>
          <w:tcPr>
            <w:tcW w:type="dxa" w:w="924"/>
          </w:tcPr>
          <w:p>
            <w:r/>
            <w:r>
              <w:rPr>
                <w:rFonts w:ascii="游ゴシック" w:hAnsi="游ゴシック" w:eastAsia="游ゴシック"/>
                <w:sz w:val="17"/>
              </w:rPr>
              <w:t>18.9点</w:t>
            </w:r>
          </w:p>
        </w:tc>
        <w:tc>
          <w:tcPr>
            <w:tcW w:type="dxa" w:w="1026"/>
          </w:tcPr>
          <w:p>
            <w:r/>
            <w:r>
              <w:rPr>
                <w:rFonts w:ascii="游ゴシック" w:hAnsi="游ゴシック" w:eastAsia="游ゴシック"/>
                <w:sz w:val="17"/>
              </w:rPr>
              <w:t>127.0％</w:t>
            </w:r>
          </w:p>
        </w:tc>
        <w:tc>
          <w:tcPr>
            <w:tcW w:type="dxa" w:w="277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4場面別成果KPIを新設。交付金評価で全国の38.2％（第4節）。記録様式の整備が令和9年度、実測は令和10年度から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評価結果を施策の重点化の根拠とし、0点項目をアウトプット指標に位置づけ</w:t>
            </w:r>
          </w:p>
        </w:tc>
        <w:tc>
          <w:tcPr>
            <w:tcW w:type="dxa" w:w="2167"/>
          </w:tcPr>
          <w:p>
            <w:r/>
            <w:r>
              <w:rPr>
                <w:rFonts w:ascii="游ゴシック" w:hAnsi="游ゴシック" w:eastAsia="游ゴシック"/>
                <w:sz w:val="17"/>
              </w:rPr>
              <w:t>評価調書との突合</w:t>
            </w:r>
          </w:p>
        </w:tc>
        <w:tc>
          <w:tcPr>
            <w:tcW w:type="dxa" w:w="1842"/>
          </w:tcPr>
          <w:p>
            <w:r/>
            <w:r>
              <w:rPr>
                <w:rFonts w:ascii="游ゴシック" w:hAnsi="游ゴシック" w:eastAsia="游ゴシック"/>
                <w:sz w:val="17"/>
              </w:rPr>
              <w:t>第3章第4節・第5章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5" name="Picture 35"/>
            <wp:cNvGraphicFramePr>
              <a:graphicFrameLocks noChangeAspect="1"/>
            </wp:cNvGraphicFramePr>
            <a:graphic>
              <a:graphicData uri="http://schemas.openxmlformats.org/drawingml/2006/picture">
                <pic:pic>
                  <pic:nvPicPr>
                    <pic:cNvPr id="0" name="fig30_kpi_source.png"/>
                    <pic:cNvPicPr/>
                  </pic:nvPicPr>
                  <pic:blipFill>
                    <a:blip r:embed="rId43"/>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理由は未確認ですが（第3章第4節）、いずれの理由であっても、アウトプット指標を国の評価項目と対応させておくことで実施状況を年度ごとに把握できるようになり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ケアプランの点検：ケアプラン、住宅改修、福祉用具購入・貸与を専門職と点検</w:t>
            </w:r>
          </w:p>
        </w:tc>
        <w:tc>
          <w:tcPr>
            <w:tcW w:type="dxa" w:w="2958"/>
          </w:tcPr>
          <w:p>
            <w:r/>
            <w:r>
              <w:rPr>
                <w:rFonts w:ascii="游ゴシック" w:hAnsi="游ゴシック" w:eastAsia="游ゴシック"/>
                <w:sz w:val="17"/>
              </w:rPr>
              <w:t>点検実施件数 年［要協議］件（R9年度から実施）／改善率／再指摘率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ケアプラン点検の実施割合</w:t>
            </w:r>
          </w:p>
        </w:tc>
      </w:tr>
      <w:tr>
        <w:tc>
          <w:tcPr>
            <w:tcW w:type="dxa" w:w="3616"/>
          </w:tcPr>
          <w:p>
            <w:r/>
            <w:r>
              <w:rPr>
                <w:rFonts w:ascii="游ゴシック" w:hAnsi="游ゴシック" w:eastAsia="游ゴシック"/>
                <w:sz w:val="17"/>
              </w:rPr>
              <w:t>医療情報との突合・縦覧点検：国保連帳票等を用いた重複・過誤・不整合の確認</w:t>
            </w:r>
          </w:p>
        </w:tc>
        <w:tc>
          <w:tcPr>
            <w:tcW w:type="dxa" w:w="2958"/>
          </w:tcPr>
          <w:p>
            <w:r/>
            <w:r>
              <w:rPr>
                <w:rFonts w:ascii="游ゴシック" w:hAnsi="游ゴシック" w:eastAsia="游ゴシック"/>
                <w:sz w:val="17"/>
              </w:rPr>
              <w:t>点検実施率 100％（R9年度から実施）／過誤調整件数／再発件数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医療情報との突合の実施割合</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［要確認］</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保険者機能強化推進交付金等の総合得点</w:t>
            </w:r>
          </w:p>
        </w:tc>
        <w:tc>
          <w:tcPr>
            <w:tcW w:type="dxa" w:w="2082"/>
          </w:tcPr>
          <w:p>
            <w:r/>
            <w:r>
              <w:rPr>
                <w:rFonts w:ascii="游ゴシック" w:hAnsi="游ゴシック" w:eastAsia="游ゴシック"/>
                <w:sz w:val="17"/>
              </w:rPr>
              <w:t>332.0点（R5調査）</w:t>
            </w:r>
          </w:p>
        </w:tc>
        <w:tc>
          <w:tcPr>
            <w:tcW w:type="dxa" w:w="1753"/>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6,684円</w:t>
            </w:r>
          </w:p>
        </w:tc>
        <w:tc>
          <w:tcPr>
            <w:tcW w:type="dxa" w:w="1587"/>
          </w:tcPr>
          <w:p>
            <w:r/>
            <w:r>
              <w:rPr>
                <w:rFonts w:ascii="游ゴシック" w:hAnsi="游ゴシック" w:eastAsia="游ゴシック"/>
                <w:sz w:val="17"/>
              </w:rPr>
              <w:t>6,755円</w:t>
            </w:r>
          </w:p>
        </w:tc>
        <w:tc>
          <w:tcPr>
            <w:tcW w:type="dxa" w:w="1020"/>
          </w:tcPr>
          <w:p>
            <w:r/>
            <w:r>
              <w:rPr>
                <w:rFonts w:ascii="游ゴシック" w:hAnsi="游ゴシック" w:eastAsia="游ゴシック"/>
                <w:sz w:val="17"/>
              </w:rPr>
              <w:t>＋71円</w:t>
            </w:r>
          </w:p>
        </w:tc>
        <w:tc>
          <w:tcPr>
            <w:tcW w:type="dxa" w:w="2721"/>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721"/>
          </w:tcPr>
          <w:p>
            <w:r/>
            <w:r>
              <w:rPr>
                <w:rFonts w:ascii="游ゴシック" w:hAnsi="游ゴシック" w:eastAsia="游ゴシック"/>
                <w:b/>
                <w:sz w:val="17"/>
              </w:rPr>
              <w:t>区分（決算科目）</w:t>
            </w:r>
          </w:p>
        </w:tc>
        <w:tc>
          <w:tcPr>
            <w:tcW w:type="dxa" w:w="964"/>
          </w:tcPr>
          <w:p>
            <w:r/>
            <w:r>
              <w:rPr>
                <w:rFonts w:ascii="游ゴシック" w:hAnsi="游ゴシック" w:eastAsia="游ゴシック"/>
                <w:b/>
                <w:sz w:val="17"/>
              </w:rPr>
              <w:t>R5</w:t>
            </w:r>
          </w:p>
        </w:tc>
        <w:tc>
          <w:tcPr>
            <w:tcW w:type="dxa" w:w="964"/>
          </w:tcPr>
          <w:p>
            <w:r/>
            <w:r>
              <w:rPr>
                <w:rFonts w:ascii="游ゴシック" w:hAnsi="游ゴシック" w:eastAsia="游ゴシック"/>
                <w:b/>
                <w:sz w:val="17"/>
              </w:rPr>
              <w:t>R6実績</w:t>
            </w:r>
          </w:p>
        </w:tc>
        <w:tc>
          <w:tcPr>
            <w:tcW w:type="dxa" w:w="794"/>
          </w:tcPr>
          <w:p>
            <w:r/>
            <w:r>
              <w:rPr>
                <w:rFonts w:ascii="游ゴシック" w:hAnsi="游ゴシック" w:eastAsia="游ゴシック"/>
                <w:b/>
                <w:sz w:val="17"/>
              </w:rPr>
              <w:t>R9</w:t>
            </w:r>
          </w:p>
        </w:tc>
        <w:tc>
          <w:tcPr>
            <w:tcW w:type="dxa" w:w="794"/>
          </w:tcPr>
          <w:p>
            <w:r/>
            <w:r>
              <w:rPr>
                <w:rFonts w:ascii="游ゴシック" w:hAnsi="游ゴシック" w:eastAsia="游ゴシック"/>
                <w:b/>
                <w:sz w:val="17"/>
              </w:rPr>
              <w:t>R10</w:t>
            </w:r>
          </w:p>
        </w:tc>
        <w:tc>
          <w:tcPr>
            <w:tcW w:type="dxa" w:w="79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第10期計</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介護予防・生活支援サービス事業費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101.3</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包括的支援事業・任意事業費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75.9［要内訳］</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保険者機能強化推進事業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2.0</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保険者努力支援事業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4.2</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地域支援事業費合計</w:t>
            </w:r>
          </w:p>
        </w:tc>
        <w:tc>
          <w:tcPr>
            <w:tcW w:type="dxa" w:w="964"/>
          </w:tcPr>
          <w:p>
            <w:r/>
            <w:r>
              <w:rPr>
                <w:rFonts w:ascii="游ゴシック" w:hAnsi="游ゴシック" w:eastAsia="游ゴシック"/>
                <w:sz w:val="17"/>
              </w:rPr>
              <w:t>177.5</w:t>
            </w:r>
          </w:p>
        </w:tc>
        <w:tc>
          <w:tcPr>
            <w:tcW w:type="dxa" w:w="964"/>
          </w:tcPr>
          <w:p>
            <w:r/>
            <w:r>
              <w:rPr>
                <w:rFonts w:ascii="游ゴシック" w:hAnsi="游ゴシック" w:eastAsia="游ゴシック"/>
                <w:sz w:val="17"/>
              </w:rPr>
              <w:t>183.4</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単位：百万円。令和6年度は決算額です。決算の科目は上記の4区分であり、包括的支援事業の6事業別及び任意事業別の内訳、並びに社会保障充実分の別は決算書からは分かりません。事業別の実績の受領後に内訳を加えます。</w:t>
      </w:r>
    </w:p>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自然体給付費合計（見える化）</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人口の基礎の置換え後</w:t>
            </w:r>
          </w:p>
        </w:tc>
        <w:tc>
          <w:tcPr>
            <w:tcW w:type="dxa" w:w="1054"/>
          </w:tcPr>
          <w:p>
            <w:r/>
            <w:r>
              <w:rPr>
                <w:rFonts w:ascii="游ゴシック" w:hAnsi="游ゴシック" w:eastAsia="游ゴシック"/>
                <w:sz w:val="17"/>
              </w:rPr>
              <w:t>9,483.5</w:t>
            </w:r>
          </w:p>
        </w:tc>
        <w:tc>
          <w:tcPr>
            <w:tcW w:type="dxa" w:w="1001"/>
          </w:tcPr>
          <w:p>
            <w:r/>
            <w:r>
              <w:rPr>
                <w:rFonts w:ascii="游ゴシック" w:hAnsi="游ゴシック" w:eastAsia="游ゴシック"/>
                <w:sz w:val="17"/>
              </w:rPr>
              <w:t>3,103.2</w:t>
            </w:r>
          </w:p>
        </w:tc>
        <w:tc>
          <w:tcPr>
            <w:tcW w:type="dxa" w:w="1001"/>
          </w:tcPr>
          <w:p>
            <w:r/>
            <w:r>
              <w:rPr>
                <w:rFonts w:ascii="游ゴシック" w:hAnsi="游ゴシック" w:eastAsia="游ゴシック"/>
                <w:sz w:val="17"/>
              </w:rPr>
              <w:t>3,161.7</w:t>
            </w:r>
          </w:p>
        </w:tc>
        <w:tc>
          <w:tcPr>
            <w:tcW w:type="dxa" w:w="1001"/>
          </w:tcPr>
          <w:p>
            <w:r/>
            <w:r>
              <w:rPr>
                <w:rFonts w:ascii="游ゴシック" w:hAnsi="游ゴシック" w:eastAsia="游ゴシック"/>
                <w:sz w:val="17"/>
              </w:rPr>
              <w:t>3,218.6</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認定者数の比（1.0152・1.0231・1.0314）による</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10,043.9</w:t>
            </w:r>
          </w:p>
        </w:tc>
        <w:tc>
          <w:tcPr>
            <w:tcW w:type="dxa" w:w="1001"/>
          </w:tcPr>
          <w:p>
            <w:r/>
            <w:r>
              <w:rPr>
                <w:rFonts w:ascii="游ゴシック" w:hAnsi="游ゴシック" w:eastAsia="游ゴシック"/>
                <w:sz w:val="17"/>
              </w:rPr>
              <w:t>3,286.6</w:t>
            </w:r>
          </w:p>
        </w:tc>
        <w:tc>
          <w:tcPr>
            <w:tcW w:type="dxa" w:w="1001"/>
          </w:tcPr>
          <w:p>
            <w:r/>
            <w:r>
              <w:rPr>
                <w:rFonts w:ascii="游ゴシック" w:hAnsi="游ゴシック" w:eastAsia="游ゴシック"/>
                <w:sz w:val="17"/>
              </w:rPr>
              <w:t>3,348.5</w:t>
            </w:r>
          </w:p>
        </w:tc>
        <w:tc>
          <w:tcPr>
            <w:tcW w:type="dxa" w:w="1001"/>
          </w:tcPr>
          <w:p>
            <w:r/>
            <w:r>
              <w:rPr>
                <w:rFonts w:ascii="游ゴシック" w:hAnsi="游ゴシック" w:eastAsia="游ゴシック"/>
                <w:sz w:val="17"/>
              </w:rPr>
              <w:t>3,408.8</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置換え後給付費×1.0591（令和6年度決算による割増率）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550.2</w:t>
            </w:r>
          </w:p>
        </w:tc>
        <w:tc>
          <w:tcPr>
            <w:tcW w:type="dxa" w:w="1001"/>
          </w:tcPr>
          <w:p>
            <w:r/>
            <w:r>
              <w:rPr>
                <w:rFonts w:ascii="游ゴシック" w:hAnsi="游ゴシック" w:eastAsia="游ゴシック"/>
                <w:sz w:val="17"/>
              </w:rPr>
              <w:t>183.4</w:t>
            </w:r>
          </w:p>
        </w:tc>
        <w:tc>
          <w:tcPr>
            <w:tcW w:type="dxa" w:w="1001"/>
          </w:tcPr>
          <w:p>
            <w:r/>
            <w:r>
              <w:rPr>
                <w:rFonts w:ascii="游ゴシック" w:hAnsi="游ゴシック" w:eastAsia="游ゴシック"/>
                <w:sz w:val="17"/>
              </w:rPr>
              <w:t>183.4</w:t>
            </w:r>
          </w:p>
        </w:tc>
        <w:tc>
          <w:tcPr>
            <w:tcW w:type="dxa" w:w="1001"/>
          </w:tcPr>
          <w:p>
            <w:r/>
            <w:r>
              <w:rPr>
                <w:rFonts w:ascii="游ゴシック" w:hAnsi="游ゴシック" w:eastAsia="游ゴシック"/>
                <w:sz w:val="17"/>
              </w:rPr>
              <w:t>183.4</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令和6年度決算額。事業別の積上げはこれから行う</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10,594.0</w:t>
            </w:r>
          </w:p>
        </w:tc>
        <w:tc>
          <w:tcPr>
            <w:tcW w:type="dxa" w:w="1001"/>
          </w:tcPr>
          <w:p>
            <w:r/>
            <w:r>
              <w:rPr>
                <w:rFonts w:ascii="游ゴシック" w:hAnsi="游ゴシック" w:eastAsia="游ゴシック"/>
                <w:sz w:val="17"/>
              </w:rPr>
              <w:t>3,470.0</w:t>
            </w:r>
          </w:p>
        </w:tc>
        <w:tc>
          <w:tcPr>
            <w:tcW w:type="dxa" w:w="1001"/>
          </w:tcPr>
          <w:p>
            <w:r/>
            <w:r>
              <w:rPr>
                <w:rFonts w:ascii="游ゴシック" w:hAnsi="游ゴシック" w:eastAsia="游ゴシック"/>
                <w:sz w:val="17"/>
              </w:rPr>
              <w:t>3,531.9</w:t>
            </w:r>
          </w:p>
        </w:tc>
        <w:tc>
          <w:tcPr>
            <w:tcW w:type="dxa" w:w="1001"/>
          </w:tcPr>
          <w:p>
            <w:r/>
            <w:r>
              <w:rPr>
                <w:rFonts w:ascii="游ゴシック" w:hAnsi="游ゴシック" w:eastAsia="游ゴシック"/>
                <w:sz w:val="17"/>
              </w:rPr>
              <w:t>3,592.1</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pPr>
      <w:r>
        <w:rPr>
          <w:rFonts w:ascii="游ゴシック" w:hAnsi="游ゴシック" w:eastAsia="游ゴシック"/>
          <w:b w:val="0"/>
          <w:sz w:val="17"/>
        </w:rPr>
        <w:t>単位：百万円。見える化システムの自然体推計は社人研の推計人口を基礎としているため、第2章第1節の人口の基礎（総合戦略ベース）に合わせ、認定者数の比により置き直しています。サービスの構成比は変えていません。標準給付費見込額（A）は、置換え後の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報酬改定、供給制約、基盤整備及び政策効果は未反映です。算定の全体は「将来推計 第3段階（給付費と保険料）」によります。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6" name="Picture 36"/>
            <wp:cNvGraphicFramePr>
              <a:graphicFrameLocks noChangeAspect="1"/>
            </wp:cNvGraphicFramePr>
            <a:graphic>
              <a:graphicData uri="http://schemas.openxmlformats.org/drawingml/2006/picture">
                <pic:pic>
                  <pic:nvPicPr>
                    <pic:cNvPr id="0" name="fig29_1_hokenryo.png"/>
                    <pic:cNvPicPr/>
                  </pic:nvPicPr>
                  <pic:blipFill>
                    <a:blip r:embed="rId44"/>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7" name="Picture 37"/>
            <wp:cNvGraphicFramePr>
              <a:graphicFrameLocks noChangeAspect="1"/>
            </wp:cNvGraphicFramePr>
            <a:graphic>
              <a:graphicData uri="http://schemas.openxmlformats.org/drawingml/2006/picture">
                <pic:pic>
                  <pic:nvPicPr>
                    <pic:cNvPr id="0" name="fig29_2_kannai.png"/>
                    <pic:cNvPicPr/>
                  </pic:nvPicPr>
                  <pic:blipFill>
                    <a:blip r:embed="rId45"/>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10期の前提を入れた基本ケースは月額6,755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10,043,861,690</w:t>
            </w:r>
          </w:p>
        </w:tc>
        <w:tc>
          <w:tcPr>
            <w:tcW w:type="dxa" w:w="794"/>
          </w:tcPr>
          <w:p>
            <w:r/>
            <w:r>
              <w:rPr>
                <w:rFonts w:ascii="游ゴシック" w:hAnsi="游ゴシック" w:eastAsia="游ゴシック"/>
                <w:sz w:val="17"/>
              </w:rPr>
              <w:t>105.5％</w:t>
            </w:r>
          </w:p>
        </w:tc>
        <w:tc>
          <w:tcPr>
            <w:tcW w:type="dxa" w:w="2494"/>
          </w:tcPr>
          <w:p>
            <w:r/>
            <w:r>
              <w:rPr>
                <w:rFonts w:ascii="游ゴシック" w:hAnsi="游ゴシック" w:eastAsia="游ゴシック"/>
                <w:sz w:val="17"/>
              </w:rPr>
              <w:t>自然体給付費×割増率1.0591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550,152,777</w:t>
            </w:r>
          </w:p>
        </w:tc>
        <w:tc>
          <w:tcPr>
            <w:tcW w:type="dxa" w:w="794"/>
          </w:tcPr>
          <w:p>
            <w:r/>
            <w:r>
              <w:rPr>
                <w:rFonts w:ascii="游ゴシック" w:hAnsi="游ゴシック" w:eastAsia="游ゴシック"/>
                <w:sz w:val="17"/>
              </w:rPr>
              <w:t>92.7％</w:t>
            </w:r>
          </w:p>
        </w:tc>
        <w:tc>
          <w:tcPr>
            <w:tcW w:type="dxa" w:w="2494"/>
          </w:tcPr>
          <w:p>
            <w:r/>
            <w:r>
              <w:rPr>
                <w:rFonts w:ascii="游ゴシック" w:hAnsi="游ゴシック" w:eastAsia="游ゴシック"/>
                <w:sz w:val="17"/>
              </w:rPr>
              <w:t>令和6年度決算額×3年</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10,594,014,467</w:t>
            </w:r>
          </w:p>
        </w:tc>
        <w:tc>
          <w:tcPr>
            <w:tcW w:type="dxa" w:w="794"/>
          </w:tcPr>
          <w:p>
            <w:r/>
            <w:r>
              <w:rPr>
                <w:rFonts w:ascii="游ゴシック" w:hAnsi="游ゴシック" w:eastAsia="游ゴシック"/>
                <w:sz w:val="17"/>
              </w:rPr>
              <w:t>104.8％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2,436,623,327</w:t>
            </w:r>
          </w:p>
        </w:tc>
        <w:tc>
          <w:tcPr>
            <w:tcW w:type="dxa" w:w="794"/>
          </w:tcPr>
          <w:p>
            <w:r/>
            <w:r>
              <w:rPr>
                <w:rFonts w:ascii="游ゴシック" w:hAnsi="游ゴシック" w:eastAsia="游ゴシック"/>
                <w:sz w:val="17"/>
              </w:rPr>
              <w:t>104.8％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517,384,278</w:t>
            </w:r>
          </w:p>
        </w:tc>
        <w:tc>
          <w:tcPr>
            <w:tcW w:type="dxa" w:w="794"/>
          </w:tcPr>
          <w:p>
            <w:r/>
            <w:r>
              <w:rPr>
                <w:rFonts w:ascii="游ゴシック" w:hAnsi="游ゴシック" w:eastAsia="游ゴシック"/>
                <w:sz w:val="17"/>
              </w:rPr>
              <w:t>105.0％</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763,190,839</w:t>
            </w:r>
          </w:p>
        </w:tc>
        <w:tc>
          <w:tcPr>
            <w:tcW w:type="dxa" w:w="794"/>
          </w:tcPr>
          <w:p>
            <w:r/>
            <w:r>
              <w:rPr>
                <w:rFonts w:ascii="游ゴシック" w:hAnsi="游ゴシック" w:eastAsia="游ゴシック"/>
                <w:sz w:val="17"/>
              </w:rPr>
              <w:t>105.0％</w:t>
            </w:r>
          </w:p>
        </w:tc>
        <w:tc>
          <w:tcPr>
            <w:tcW w:type="dxa" w:w="2494"/>
          </w:tcPr>
          <w:p>
            <w:r/>
            <w:r>
              <w:rPr>
                <w:rFonts w:ascii="游ゴシック" w:hAnsi="游ゴシック" w:eastAsia="游ゴシック"/>
                <w:sz w:val="17"/>
              </w:rPr>
              <w:t>（A＋総合事業費）×7.375％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2,190,816,766</w:t>
            </w:r>
          </w:p>
        </w:tc>
        <w:tc>
          <w:tcPr>
            <w:tcW w:type="dxa" w:w="794"/>
          </w:tcPr>
          <w:p>
            <w:r/>
            <w:r>
              <w:rPr>
                <w:rFonts w:ascii="游ゴシック" w:hAnsi="游ゴシック" w:eastAsia="游ゴシック"/>
                <w:sz w:val="17"/>
              </w:rPr>
              <w:t>106.8％</w:t>
            </w:r>
          </w:p>
        </w:tc>
        <w:tc>
          <w:tcPr>
            <w:tcW w:type="dxa" w:w="2494"/>
          </w:tcPr>
          <w:p>
            <w:r/>
            <w:r>
              <w:rPr>
                <w:rFonts w:ascii="游ゴシック" w:hAnsi="游ゴシック" w:eastAsia="游ゴシック"/>
                <w:sz w:val="17"/>
              </w:rPr>
              <w:t>C＋D－E－I</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6,755円</w:t>
            </w:r>
          </w:p>
        </w:tc>
        <w:tc>
          <w:tcPr>
            <w:tcW w:type="dxa" w:w="794"/>
          </w:tcPr>
          <w:p>
            <w:r/>
            <w:r>
              <w:rPr>
                <w:rFonts w:ascii="游ゴシック" w:hAnsi="游ゴシック" w:eastAsia="游ゴシック"/>
                <w:sz w:val="17"/>
              </w:rPr>
              <w:t>105.1％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w:t>
      </w:r>
    </w:p>
    <w:p>
      <w:pPr>
        <w:spacing w:before="140" w:after="20"/>
        <w:jc w:val="center"/>
      </w:pPr>
      <w:r>
        <w:drawing>
          <wp:inline xmlns:a="http://schemas.openxmlformats.org/drawingml/2006/main" xmlns:pic="http://schemas.openxmlformats.org/drawingml/2006/picture">
            <wp:extent cx="5976000" cy="4002377"/>
            <wp:docPr id="38" name="Picture 38"/>
            <wp:cNvGraphicFramePr>
              <a:graphicFrameLocks noChangeAspect="1"/>
            </wp:cNvGraphicFramePr>
            <a:graphic>
              <a:graphicData uri="http://schemas.openxmlformats.org/drawingml/2006/picture">
                <pic:pic>
                  <pic:nvPicPr>
                    <pic:cNvPr id="0" name="fig33_hokenryo.png"/>
                    <pic:cNvPicPr/>
                  </pic:nvPicPr>
                  <pic:blipFill>
                    <a:blip r:embed="rId46"/>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9" name="Picture 39"/>
            <wp:cNvGraphicFramePr>
              <a:graphicFrameLocks noChangeAspect="1"/>
            </wp:cNvGraphicFramePr>
            <a:graphic>
              <a:graphicData uri="http://schemas.openxmlformats.org/drawingml/2006/picture">
                <pic:pic>
                  <pic:nvPicPr>
                    <pic:cNvPr id="0" name="fig33_2_yoin.png"/>
                    <pic:cNvPicPr/>
                  </pic:nvPicPr>
                  <pic:blipFill>
                    <a:blip r:embed="rId47"/>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355円高くなります。第9期からの差を要因に分けると、給付費の水準が＋339円、基金取崩しを行わないことが＋125円、被保険者数が＋45円で、所得段階別加入割合補正後の被保険者数の係数が実績どおりであることが▲153円、地域支援事業費が令和6年度の決算水準であることが▲29円です。</w:t>
      </w:r>
    </w:p>
    <w:p>
      <w:pPr>
        <w:spacing w:after="80"/>
      </w:pPr>
      <w:r>
        <w:rPr>
          <w:rFonts w:ascii="游ゴシック" w:hAnsi="游ゴシック" w:eastAsia="游ゴシック"/>
          <w:b w:val="0"/>
          <w:sz w:val="20"/>
        </w:rPr>
        <w:t>なお、給付費の水準には人口の基礎の変更（第2章第1節）が含まれます。見える化システムの自然体推計は社人研の推計人口を基礎とするため、認定者数の比により9,267百万円を9,484百万円に置き直してい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608"/>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608"/>
          </w:tcPr>
          <w:p>
            <w:r/>
            <w:r>
              <w:rPr>
                <w:rFonts w:ascii="游ゴシック" w:hAnsi="游ゴシック" w:eastAsia="游ゴシック"/>
                <w:sz w:val="17"/>
              </w:rPr>
              <w:t>給付費の水準</w:t>
            </w:r>
          </w:p>
        </w:tc>
        <w:tc>
          <w:tcPr>
            <w:tcW w:type="dxa" w:w="2268"/>
          </w:tcPr>
          <w:p>
            <w:r/>
            <w:r>
              <w:rPr>
                <w:rFonts w:ascii="游ゴシック" w:hAnsi="游ゴシック" w:eastAsia="游ゴシック"/>
                <w:sz w:val="17"/>
              </w:rPr>
              <w:t>自然体推計 9,484百万円</w:t>
            </w:r>
          </w:p>
        </w:tc>
        <w:tc>
          <w:tcPr>
            <w:tcW w:type="dxa" w:w="2608"/>
          </w:tcPr>
          <w:p>
            <w:r/>
            <w:r>
              <w:rPr>
                <w:rFonts w:ascii="游ゴシック" w:hAnsi="游ゴシック" w:eastAsia="游ゴシック"/>
                <w:sz w:val="17"/>
              </w:rPr>
              <w:t>第9期の実績年率×3年 8,599百万円</w:t>
            </w:r>
          </w:p>
        </w:tc>
        <w:tc>
          <w:tcPr>
            <w:tcW w:type="dxa" w:w="1134"/>
          </w:tcPr>
          <w:p>
            <w:r/>
            <w:r>
              <w:rPr>
                <w:rFonts w:ascii="游ゴシック" w:hAnsi="游ゴシック" w:eastAsia="游ゴシック"/>
                <w:sz w:val="17"/>
              </w:rPr>
              <w:t>6,159円</w:t>
            </w:r>
          </w:p>
        </w:tc>
        <w:tc>
          <w:tcPr>
            <w:tcW w:type="dxa" w:w="1134"/>
          </w:tcPr>
          <w:p>
            <w:r/>
            <w:r>
              <w:rPr>
                <w:rFonts w:ascii="游ゴシック" w:hAnsi="游ゴシック" w:eastAsia="游ゴシック"/>
                <w:sz w:val="17"/>
              </w:rPr>
              <w:t>▲596円</w:t>
            </w:r>
          </w:p>
        </w:tc>
      </w:tr>
      <w:tr>
        <w:tc>
          <w:tcPr>
            <w:tcW w:type="dxa" w:w="2608"/>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608"/>
          </w:tcPr>
          <w:p>
            <w:r/>
            <w:r>
              <w:rPr>
                <w:rFonts w:ascii="游ゴシック" w:hAnsi="游ゴシック" w:eastAsia="游ゴシック"/>
                <w:sz w:val="17"/>
              </w:rPr>
              <w:t>24％</w:t>
            </w:r>
          </w:p>
        </w:tc>
        <w:tc>
          <w:tcPr>
            <w:tcW w:type="dxa" w:w="1134"/>
          </w:tcPr>
          <w:p>
            <w:r/>
            <w:r>
              <w:rPr>
                <w:rFonts w:ascii="游ゴシック" w:hAnsi="游ゴシック" w:eastAsia="游ゴシック"/>
                <w:sz w:val="17"/>
              </w:rPr>
              <w:t>7,081円</w:t>
            </w:r>
          </w:p>
        </w:tc>
        <w:tc>
          <w:tcPr>
            <w:tcW w:type="dxa" w:w="1134"/>
          </w:tcPr>
          <w:p>
            <w:r/>
            <w:r>
              <w:rPr>
                <w:rFonts w:ascii="游ゴシック" w:hAnsi="游ゴシック" w:eastAsia="游ゴシック"/>
                <w:sz w:val="17"/>
              </w:rPr>
              <w:t>＋326円</w:t>
            </w:r>
          </w:p>
        </w:tc>
      </w:tr>
      <w:tr>
        <w:tc>
          <w:tcPr>
            <w:tcW w:type="dxa" w:w="2608"/>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7.375％（第9期計画と同水準）</w:t>
            </w:r>
          </w:p>
        </w:tc>
        <w:tc>
          <w:tcPr>
            <w:tcW w:type="dxa" w:w="2608"/>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7,037円</w:t>
            </w:r>
          </w:p>
        </w:tc>
        <w:tc>
          <w:tcPr>
            <w:tcW w:type="dxa" w:w="1134"/>
          </w:tcPr>
          <w:p>
            <w:r/>
            <w:r>
              <w:rPr>
                <w:rFonts w:ascii="游ゴシック" w:hAnsi="游ゴシック" w:eastAsia="游ゴシック"/>
                <w:sz w:val="17"/>
              </w:rPr>
              <w:t>＋282円</w:t>
            </w:r>
          </w:p>
        </w:tc>
      </w:tr>
      <w:tr>
        <w:tc>
          <w:tcPr>
            <w:tcW w:type="dxa" w:w="2608"/>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608"/>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6,592円</w:t>
            </w:r>
          </w:p>
        </w:tc>
        <w:tc>
          <w:tcPr>
            <w:tcW w:type="dxa" w:w="1134"/>
          </w:tcPr>
          <w:p>
            <w:r/>
            <w:r>
              <w:rPr>
                <w:rFonts w:ascii="游ゴシック" w:hAnsi="游ゴシック" w:eastAsia="游ゴシック"/>
                <w:sz w:val="17"/>
              </w:rPr>
              <w:t>▲163円</w:t>
            </w:r>
          </w:p>
        </w:tc>
      </w:tr>
      <w:tr>
        <w:tc>
          <w:tcPr>
            <w:tcW w:type="dxa" w:w="2608"/>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608"/>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6,695円</w:t>
            </w:r>
          </w:p>
        </w:tc>
        <w:tc>
          <w:tcPr>
            <w:tcW w:type="dxa" w:w="1134"/>
          </w:tcPr>
          <w:p>
            <w:r/>
            <w:r>
              <w:rPr>
                <w:rFonts w:ascii="游ゴシック" w:hAnsi="游ゴシック" w:eastAsia="游ゴシック"/>
                <w:sz w:val="17"/>
              </w:rPr>
              <w:t>▲60円</w:t>
            </w:r>
          </w:p>
        </w:tc>
      </w:tr>
      <w:tr>
        <w:tc>
          <w:tcPr>
            <w:tcW w:type="dxa" w:w="2608"/>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608"/>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6,040円</w:t>
            </w:r>
          </w:p>
        </w:tc>
        <w:tc>
          <w:tcPr>
            <w:tcW w:type="dxa" w:w="1134"/>
          </w:tcPr>
          <w:p>
            <w:r/>
            <w:r>
              <w:rPr>
                <w:rFonts w:ascii="游ゴシック" w:hAnsi="游ゴシック" w:eastAsia="游ゴシック"/>
                <w:sz w:val="17"/>
              </w:rPr>
              <w:t>▲715円</w:t>
            </w:r>
          </w:p>
        </w:tc>
      </w:tr>
    </w:tbl>
    <w:p>
      <w:pPr>
        <w:spacing w:after="160"/>
        <w:jc w:val="right"/>
      </w:pPr>
      <w:r>
        <w:rPr>
          <w:rFonts w:ascii="游ゴシック" w:hAnsi="游ゴシック" w:eastAsia="游ゴシック"/>
          <w:b w:val="0"/>
          <w:sz w:val="17"/>
        </w:rPr>
        <w:t>資料：将来推計 第3段階（給付費と保険料）06シート・07シート</w:t>
      </w:r>
    </w:p>
    <w:p>
      <w:pPr>
        <w:spacing w:after="80"/>
      </w:pPr>
      <w:r>
        <w:rPr>
          <w:rFonts w:ascii="游ゴシック" w:hAnsi="游ゴシック" w:eastAsia="游ゴシック"/>
          <w:b w:val="0"/>
          <w:sz w:val="20"/>
        </w:rPr>
        <w:t>最も大きいレバーは給付費の水準で、月額に596円の幅があります。見える化システムの自然体推計6,238円は、給付費を第9期の実績年率で置いた場合の値に近く、自然体給付費推計の伸びを織り込んでいない可能性があります。第10期の計画に用いる値は、見える化の出力をそのまま採るのではなく、内訳を組み立てたうえで決め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第3章第4節1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第3章第4節2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第3章第4節3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