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令和8年10月7日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次に着手するもの（10月8日（木））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町・国・県の回答を待たずに進められる作業は20件・53.5時間分あり、うち17件（43.5時間）が令和8年10月7日までに済んでいます。</w:t>
      </w:r>
      <w:r>
        <w:rPr>
          <w:rFonts w:ascii="游ゴシック" w:hAnsi="游ゴシック" w:eastAsia="游ゴシック"/>
          <w:b w:val="0"/>
          <w:i w:val="0"/>
          <w:sz w:val="21"/>
        </w:rPr>
        <w:t>令和8年10月8日は残り3件のうち2件（4.0時間）に着手します。</w:t>
      </w:r>
    </w:p>
    <w:p>
      <w:pPr>
        <w:spacing w:before="60" w:after="60"/>
      </w:pPr>
      <w:r>
        <w:rPr>
          <w:rFonts w:ascii="游ゴシック" w:hAnsi="游ゴシック" w:eastAsia="游ゴシック"/>
          <w:b/>
          <w:i w:val="0"/>
          <w:sz w:val="21"/>
        </w:rPr>
        <w:t>進捗の乖離を測ったところ、高齢者計画は予定より+14.9ポイント、障がい計画は+2.0ポイントでした。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77</w:t>
            </w:r>
          </w:p>
        </w:tc>
        <w:tc>
          <w:tcPr>
            <w:tcW w:type="dxa" w:w="1247"/>
            <w:vAlign w:val="center"/>
          </w:tcPr>
          <w:p>
            <w:pPr>
              <w:spacing w:before="20" w:after="20"/>
              <w:jc w:val="right"/>
            </w:pPr>
            <w:r>
              <w:rPr>
                <w:rFonts w:ascii="游ゴシック" w:hAnsi="游ゴシック" w:eastAsia="游ゴシック"/>
                <w:b w:val="0"/>
                <w:i w:val="0"/>
                <w:sz w:val="17"/>
              </w:rPr>
              <w:t>55.8％</w:t>
            </w:r>
          </w:p>
        </w:tc>
        <w:tc>
          <w:tcPr>
            <w:tcW w:type="dxa" w:w="1247"/>
            <w:vAlign w:val="center"/>
          </w:tcPr>
          <w:p>
            <w:pPr>
              <w:spacing w:before="20" w:after="20"/>
              <w:jc w:val="right"/>
            </w:pPr>
            <w:r>
              <w:rPr>
                <w:rFonts w:ascii="游ゴシック" w:hAnsi="游ゴシック" w:eastAsia="游ゴシック"/>
                <w:b w:val="0"/>
                <w:i w:val="0"/>
                <w:sz w:val="17"/>
              </w:rPr>
              <w:t>70.7％</w:t>
            </w:r>
          </w:p>
        </w:tc>
        <w:tc>
          <w:tcPr>
            <w:tcW w:type="dxa" w:w="1020"/>
            <w:vAlign w:val="center"/>
          </w:tcPr>
          <w:p>
            <w:pPr>
              <w:spacing w:before="20" w:after="20"/>
              <w:jc w:val="right"/>
            </w:pPr>
            <w:r>
              <w:rPr>
                <w:rFonts w:ascii="游ゴシック" w:hAnsi="游ゴシック" w:eastAsia="游ゴシック"/>
                <w:b w:val="0"/>
                <w:i w:val="0"/>
                <w:sz w:val="17"/>
              </w:rPr>
              <w:t>+14.9pt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51.8％</w:t>
            </w:r>
          </w:p>
        </w:tc>
        <w:tc>
          <w:tcPr>
            <w:tcW w:type="dxa" w:w="1247"/>
            <w:vAlign w:val="center"/>
          </w:tcPr>
          <w:p>
            <w:pPr>
              <w:spacing w:before="20" w:after="20"/>
              <w:jc w:val="right"/>
            </w:pPr>
            <w:r>
              <w:rPr>
                <w:rFonts w:ascii="游ゴシック" w:hAnsi="游ゴシック" w:eastAsia="游ゴシック"/>
                <w:b w:val="0"/>
                <w:i w:val="0"/>
                <w:sz w:val="17"/>
              </w:rPr>
              <w:t>53.8％</w:t>
            </w:r>
          </w:p>
        </w:tc>
        <w:tc>
          <w:tcPr>
            <w:tcW w:type="dxa" w:w="1020"/>
            <w:vAlign w:val="center"/>
          </w:tcPr>
          <w:p>
            <w:pPr>
              <w:spacing w:before="20" w:after="20"/>
              <w:jc w:val="right"/>
            </w:pPr>
            <w:r>
              <w:rPr>
                <w:rFonts w:ascii="游ゴシック" w:hAnsi="游ゴシック" w:eastAsia="游ゴシック"/>
                <w:b w:val="0"/>
                <w:i w:val="0"/>
                <w:sz w:val="17"/>
              </w:rPr>
              <w:t>+2.0pt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2件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予定進捗率は、予定開始の月初から予定完了の月末までを直線で見たときの令和8年10月7日時点の値。判定は差が±10ポイント以内なら「おおむね予定どおり」とした。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高齢者計画は予定を+14.9ポイント上回っています。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一方で障がい計画は+2.0ポイント下回っており、こちらが本業務全体の弱いところです。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keepNext/>
        <w:spacing w:before="180" w:after="80"/>
      </w:pPr>
      <w:r>
        <w:rPr>
          <w:rFonts w:ascii="游ゴシック" w:hAnsi="游ゴシック" w:eastAsia="游ゴシック"/>
          <w:b/>
          <w:i w:val="0"/>
          <w:color w:val="1F4D78"/>
          <w:sz w:val="22"/>
        </w:rPr>
        <w:t>障がい計画（8件）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r>
        <w:tc>
          <w:tcPr>
            <w:tcW w:type="dxa" w:w="510"/>
            <w:vAlign w:val="center"/>
          </w:tcPr>
          <w:p>
            <w:pPr>
              <w:spacing w:before="20" w:after="20"/>
            </w:pPr>
            <w:r>
              <w:rPr>
                <w:rFonts w:ascii="游ゴシック" w:hAnsi="游ゴシック" w:eastAsia="游ゴシック"/>
                <w:b w:val="0"/>
                <w:i w:val="0"/>
                <w:sz w:val="17"/>
              </w:rPr>
              <w:t>2-16</w:t>
            </w:r>
          </w:p>
        </w:tc>
        <w:tc>
          <w:tcPr>
            <w:tcW w:type="dxa" w:w="1928"/>
            <w:vAlign w:val="center"/>
          </w:tcPr>
          <w:p>
            <w:pPr>
              <w:spacing w:before="20" w:after="20"/>
            </w:pPr>
            <w:r>
              <w:rPr>
                <w:rFonts w:ascii="游ゴシック" w:hAnsi="游ゴシック" w:eastAsia="游ゴシック"/>
                <w:b w:val="0"/>
                <w:i w:val="0"/>
                <w:sz w:val="17"/>
              </w:rPr>
              <w:t>確認票の2枚化（町向け・事業所向け）</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2-15の結果（短期入所の照会の主題が変わる）</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障がい計画の遅れ8件は、すべて町からの3点に連なっています。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町・国・県の回答を待たずに進められる作業は20件、合計53.5時間（1日8.0時間として約6.7日）です。</w:t>
      </w:r>
      <w:r>
        <w:rPr>
          <w:rFonts w:ascii="游ゴシック" w:hAnsi="游ゴシック" w:eastAsia="游ゴシック"/>
          <w:b/>
          <w:i w:val="0"/>
          <w:sz w:val="21"/>
        </w:rPr>
        <w:t>うち17件・43.5時間は令和8年10月7日までに済みました。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10月9日（金）</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次に着手するもの（10月8日（木））</w:t>
      </w:r>
      <w:bookmarkEnd w:id="119"/>
    </w:p>
    <w:p>
      <w:pPr>
        <w:spacing w:before="60" w:after="60"/>
      </w:pPr>
      <w:r>
        <w:rPr>
          <w:rFonts w:ascii="游ゴシック" w:hAnsi="游ゴシック" w:eastAsia="游ゴシック"/>
          <w:b/>
          <w:i w:val="0"/>
          <w:sz w:val="21"/>
        </w:rPr>
        <w:t>2件・4.0時間。いずれも外部の回答を要しません。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T14</w:t>
            </w:r>
          </w:p>
        </w:tc>
        <w:tc>
          <w:tcPr>
            <w:tcW w:type="dxa" w:w="2268"/>
            <w:vAlign w:val="center"/>
          </w:tcPr>
          <w:p>
            <w:pPr>
              <w:spacing w:before="20" w:after="20"/>
            </w:pPr>
            <w:r>
              <w:rPr>
                <w:rFonts w:ascii="游ゴシック" w:hAnsi="游ゴシック" w:eastAsia="游ゴシック"/>
                <w:b w:val="0"/>
                <w:i w:val="0"/>
                <w:sz w:val="17"/>
              </w:rPr>
              <w:t>一次資料との突合の対象を広げる</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原本（年報・国保連月報・交付金の集計表）が手元にある。</w:t>
            </w:r>
            <w:r>
              <w:rPr>
                <w:rFonts w:ascii="游ゴシック" w:hAnsi="游ゴシック" w:eastAsia="游ゴシック"/>
                <w:b/>
                <w:i w:val="0"/>
                <w:sz w:val="17"/>
              </w:rPr>
              <w:t>10月5日に一次資料の台帳を作ったので、突合の対象を増やすと素案の関連データの裏づけも同時に厚くなる</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T20</w:t>
            </w:r>
          </w:p>
        </w:tc>
        <w:tc>
          <w:tcPr>
            <w:tcW w:type="dxa" w:w="2268"/>
            <w:vAlign w:val="center"/>
          </w:tcPr>
          <w:p>
            <w:pPr>
              <w:spacing w:before="20" w:after="20"/>
            </w:pPr>
            <w:r>
              <w:rPr>
                <w:rFonts w:ascii="游ゴシック" w:hAnsi="游ゴシック" w:eastAsia="游ゴシック"/>
                <w:b w:val="0"/>
                <w:i w:val="0"/>
                <w:sz w:val="17"/>
              </w:rPr>
              <w:t>確認票の2枚化（町向け・事業所向け）</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i w:val="0"/>
                <w:sz w:val="17"/>
              </w:rPr>
              <w:t>1枚のまま回すと回答者が担当外の行まで見ることになる。</w:t>
            </w:r>
            <w:r>
              <w:rPr>
                <w:rFonts w:ascii="游ゴシック" w:hAnsi="游ゴシック" w:eastAsia="游ゴシック"/>
                <w:b w:val="0"/>
                <w:i w:val="0"/>
                <w:sz w:val="17"/>
              </w:rPr>
              <w:t>庁内で取れるものと事業所に照会するものは仕分け済み</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10月9日（金）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6066"/>
            <w:vAlign w:val="center"/>
          </w:tcPr>
          <w:p>
            <w:pPr>
              <w:spacing w:before="20" w:after="20"/>
            </w:pPr>
            <w:r>
              <w:rPr>
                <w:rFonts w:ascii="游ゴシック" w:hAnsi="游ゴシック" w:eastAsia="游ゴシック"/>
                <w:b w:val="0"/>
                <w:i w:val="0"/>
                <w:sz w:val="17"/>
              </w:rPr>
              <w:t>障がい計画の素案の改訂（第2版）</w:t>
            </w:r>
          </w:p>
        </w:tc>
        <w:tc>
          <w:tcPr>
            <w:tcW w:type="dxa" w:w="1247"/>
            <w:vAlign w:val="center"/>
          </w:tcPr>
          <w:p>
            <w:pPr>
              <w:spacing w:before="20" w:after="20"/>
              <w:jc w:val="right"/>
            </w:pPr>
            <w:r>
              <w:rPr>
                <w:rFonts w:ascii="游ゴシック" w:hAnsi="游ゴシック" w:eastAsia="游ゴシック"/>
                <w:b w:val="0"/>
                <w:i w:val="0"/>
                <w:sz w:val="17"/>
              </w:rPr>
              <w:t>6.0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資料：業務進捗管理表（17_業務進捗管理）令和8年10月7日版。高齢者計画のWBS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