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見出し1点＋本文5段落＋注記1点</w:t>
            </w:r>
          </w:p>
        </w:tc>
        <w:tc>
          <w:tcPr>
            <w:tcW w:w="1400" w:type="dxa"/>
          </w:tcPr>
          <w:p>
            <w:pPr>
              <w:spacing w:after="0"/>
            </w:pPr>
            <w:r>
              <w:rPr>
                <w:rFonts w:ascii="BIZ UDPゴシック" w:hAnsi="BIZ UDPゴシック" w:eastAsia="BIZ UDPゴシック" w:cs="BIZ UDPゴシック"/>
                <w:b w:val="0"/>
                <w:sz w:val="19"/>
              </w:rPr>
              <w:t>約1.2頁</w:t>
            </w:r>
          </w:p>
        </w:tc>
        <w:tc>
          <w:tcPr>
            <w:tcW w:w="5800" w:type="dxa"/>
          </w:tcPr>
          <w:p>
            <w:pPr>
              <w:spacing w:after="0"/>
            </w:pPr>
            <w:r>
              <w:rPr>
                <w:rFonts w:ascii="BIZ UDPゴシック" w:hAnsi="BIZ UDPゴシック" w:eastAsia="BIZ UDPゴシック" w:cs="BIZ UDPゴシック"/>
                <w:b w:val="0"/>
                <w:sz w:val="19"/>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spacing w:after="80"/>
        <w:ind w:firstLine="210"/>
      </w:pPr>
      <w:r>
        <w:rPr>
          <w:rFonts w:ascii="BIZ UDPゴシック" w:hAnsi="BIZ UDPゴシック" w:eastAsia="BIZ UDPゴシック" w:cs="BIZ UDPゴシック"/>
          <w:b w:val="0"/>
          <w:sz w:val="21"/>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施行は公布から2年6月を超えない範囲内で政令で定める日であり、本計画期間（令和9〜11年度）中に施行されるため、「施行される可能性がある」ではなく「本計画期間中に施行される」と書く</w:t>
      </w:r>
    </w:p>
    <w:p>
      <w:pPr>
        <w:spacing w:before="160" w:after="40"/>
      </w:pPr>
      <w:r>
        <w:rPr>
          <w:rFonts w:ascii="BIZ UDPゴシック" w:hAnsi="BIZ UDPゴシック" w:eastAsia="BIZ UDPゴシック" w:cs="BIZ UDPゴシック"/>
          <w:b/>
          <w:color w:val="2E75B6"/>
          <w:sz w:val="22"/>
        </w:rPr>
        <w:t xml:space="preserve">　入れるもの（見出し1点＋本文5段落＋注記1点／約1.2頁）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spacing w:after="80"/>
        <w:ind w:firstLine="210"/>
      </w:pPr>
      <w:r>
        <w:rPr>
          <w:rFonts w:ascii="BIZ UDPゴシック" w:hAnsi="BIZ UDPゴシック" w:eastAsia="BIZ UDPゴシック" w:cs="BIZ UDPゴシック"/>
          <w:b w:val="0"/>
          <w:sz w:val="21"/>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spacing w:after="80"/>
        <w:ind w:firstLine="210"/>
      </w:pPr>
      <w:r>
        <w:rPr>
          <w:rFonts w:ascii="BIZ UDPゴシック" w:hAnsi="BIZ UDPゴシック" w:eastAsia="BIZ UDPゴシック" w:cs="BIZ UDPゴシック"/>
          <w:b w:val="0"/>
          <w:sz w:val="21"/>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spacing w:after="80"/>
        <w:ind w:firstLine="210"/>
      </w:pPr>
      <w:r>
        <w:rPr>
          <w:rFonts w:ascii="BIZ UDPゴシック" w:hAnsi="BIZ UDPゴシック" w:eastAsia="BIZ UDPゴシック" w:cs="BIZ UDPゴシック"/>
          <w:b w:val="0"/>
          <w:sz w:val="21"/>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spacing w:after="80"/>
        <w:ind w:firstLine="210"/>
      </w:pPr>
      <w:r>
        <w:rPr>
          <w:rFonts w:ascii="BIZ UDPゴシック" w:hAnsi="BIZ UDPゴシック" w:eastAsia="BIZ UDPゴシック" w:cs="BIZ UDPゴシック"/>
          <w:b w:val="0"/>
          <w:sz w:val="21"/>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80"/>
        <w:ind w:firstLine="210"/>
      </w:pPr>
      <w:r>
        <w:rPr>
          <w:rFonts w:ascii="BIZ UDPゴシック" w:hAnsi="BIZ UDPゴシック" w:eastAsia="BIZ UDPゴシック" w:cs="BIZ UDPゴシック"/>
          <w:b w:val="0"/>
          <w:sz w:val="21"/>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-14・Ｍ-15）】施設入所支援の４人は、村の給付の台帳により、いずれも入所先の施設で生活介護をあわせて利用していることが分かりました（Ｍ-13。解決済み）。このほ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なお、表の各欄は円単位の額の千円未満を四捨五入しているため、内訳の和が計と１千円違う年度があります（令和３年度）。</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表の各欄は千円未満を四捨五入しているため、国・県・村の負担の和は計と１千円違い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