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79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11件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12件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22件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22件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7件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委員会に出す資料に直に要るもの（11件）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32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82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サービスの見込量を確定するために要るもの（12件）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32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82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32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高齢者福祉の施策との接続（22件）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3200" w:type="dxa"/>
          </w:tcPr>
          <w:p>
            <w:pPr>
              <w:spacing w:after="0"/>
            </w:pPr>
            <w:r>
              <w:rPr>
                <w:rFonts w:ascii="BIZ UDPゴシック" w:hAnsi="BIZ UDPゴシック" w:eastAsia="BIZ UDPゴシック" w:cs="BIZ UDPゴシック"/>
                <w:b w:val="0"/>
                <w:sz w:val="19"/>
              </w:rPr>
              <w:t>成果品の印刷・製本の所要日数と発注の形</w:t>
            </w:r>
          </w:p>
        </w:tc>
        <w:tc>
          <w:tcPr>
            <w:tcW w:w="82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19日までに確定させる必要があります。なお、目次の更新（Ｗｏｒｄの目次フィールドの更新）は当方の環境では行えないため、他メンバー又は村にお願いすることになります。その時期も２月19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Ｍ-116</w:t>
            </w:r>
          </w:p>
        </w:tc>
        <w:tc>
          <w:tcPr>
            <w:tcW w:w="3200" w:type="dxa"/>
          </w:tcPr>
          <w:p>
            <w:pPr>
              <w:spacing w:after="0"/>
            </w:pPr>
            <w:r>
              <w:rPr>
                <w:rFonts w:ascii="BIZ UDPゴシック" w:hAnsi="BIZ UDPゴシック" w:eastAsia="BIZ UDPゴシック" w:cs="BIZ UDPゴシック"/>
                <w:b w:val="0"/>
                <w:sz w:val="19"/>
              </w:rPr>
              <w:t>成年後見制度の見直しに伴う村の事務</w:t>
            </w:r>
          </w:p>
        </w:tc>
        <w:tc>
          <w:tcPr>
            <w:tcW w:w="8200" w:type="dxa"/>
          </w:tcPr>
          <w:p>
            <w:pPr>
              <w:spacing w:after="0"/>
            </w:pPr>
            <w:r>
              <w:rPr>
                <w:rFonts w:ascii="BIZ UDPゴシック" w:hAnsi="BIZ UDPゴシック" w:eastAsia="BIZ UDPゴシック" w:cs="BIZ UDPゴシック"/>
                <w:b w:val="0"/>
                <w:sz w:val="19"/>
              </w:rPr>
              <w:t>民法等の一部を改正する法律（令和８年法律第45号。令和８年６月24日公布）により、成年後見制度が見直されます。施行の日は公布から２年６月を超えない範囲内において政令で定める日であり、本計画の期間（令和９年度から令和11年度まで）中に施行されます。次の３点について、現在の取扱いをご教示ください。①村長申立ての事務の流れ（申立ての件数、担当課、家庭裁判所との連絡の方法）。②成年後見制度利用支援事業の助成の対象（申立てに要する経費、後見人等の報酬の助成の要件と上限）。本計画では令和９年度４人、令和10年度４人、令和11年度５人の利用を見込んでいます。③家庭裁判所から本人の心身の状態、生活の状況その他の事項に関する意見を求められた場合の担当課と回答の手順。改正により、家庭裁判所が必要と認める事案について市区町村長その他適当な者に意見を求めることができることが明確にされます（家事事件手続法第120条）。村長申立てとは別の場面であり、村が意見を述べる場面が増えることが見込まれます。③について定めがない場合は、「定めていない」とお答えください。その場合は、手順を定め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既にある施策の実績（22件）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32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82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32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82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会津北部４町村及び県との広域整合（7件）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32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