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line="300" w:lineRule="exact"/>
        <w:jc w:val="right"/>
      </w:pPr>
      <w:r>
        <w:rPr>
          <w:rFonts w:ascii="游ゴシック" w:cs="游ゴシック" w:eastAsia="游ゴシック" w:hAnsi="游ゴシック"/>
          <w:sz w:val="21"/>
          <w:szCs w:val="21"/>
        </w:rPr>
        <w:t xml:space="preserve">令和8年10月7日</w:t>
      </w:r>
    </w:p>
    <w:p>
      <w:pPr>
        <w:spacing w:after="120" w:line="300" w:lineRule="exact"/>
      </w:pPr>
      <w:r>
        <w:rPr>
          <w:rFonts w:ascii="游ゴシック" w:cs="游ゴシック" w:eastAsia="游ゴシック" w:hAnsi="游ゴシック"/>
          <w:b/>
          <w:bCs/>
          <w:sz w:val="24"/>
          <w:szCs w:val="24"/>
        </w:rPr>
        <w:t xml:space="preserve">北塩原村役場　保健福祉課　福祉係　御中</w:t>
      </w:r>
    </w:p>
    <w:p>
      <w:pPr>
        <w:spacing w:after="400" w:line="300" w:lineRule="exact"/>
        <w:jc w:val="right"/>
      </w:pPr>
      <w:r>
        <w:rPr>
          <w:rFonts w:ascii="游ゴシック" w:cs="游ゴシック" w:eastAsia="游ゴシック" w:hAnsi="游ゴシック"/>
          <w:sz w:val="21"/>
          <w:szCs w:val="21"/>
        </w:rPr>
        <w:t xml:space="preserve">ビズアップ公共コンサルティング株式会社</w:t>
      </w:r>
    </w:p>
    <w:p>
      <w:pPr>
        <w:spacing w:after="60" w:line="300" w:lineRule="exact"/>
        <w:jc w:val="center"/>
      </w:pPr>
      <w:r>
        <w:rPr>
          <w:rFonts w:ascii="游ゴシック" w:cs="游ゴシック" w:eastAsia="游ゴシック" w:hAnsi="游ゴシック"/>
          <w:b/>
          <w:bCs/>
          <w:color w:val="1F3864"/>
          <w:sz w:val="26"/>
          <w:szCs w:val="26"/>
        </w:rPr>
        <w:t xml:space="preserve">第10期北塩原村高齢者福祉計画・</w:t>
      </w:r>
    </w:p>
    <w:p>
      <w:pPr>
        <w:spacing w:after="120" w:line="300" w:lineRule="exact"/>
        <w:jc w:val="center"/>
      </w:pPr>
      <w:r>
        <w:rPr>
          <w:rFonts w:ascii="游ゴシック" w:cs="游ゴシック" w:eastAsia="游ゴシック" w:hAnsi="游ゴシック"/>
          <w:b/>
          <w:bCs/>
          <w:color w:val="1F3864"/>
          <w:sz w:val="26"/>
          <w:szCs w:val="26"/>
        </w:rPr>
        <w:t xml:space="preserve">第10期北塩原村介護保険事業計画策定業務</w:t>
      </w:r>
    </w:p>
    <w:p>
      <w:pPr>
        <w:spacing w:after="320" w:line="300" w:lineRule="exact"/>
        <w:jc w:val="center"/>
      </w:pPr>
      <w:r>
        <w:rPr>
          <w:rFonts w:ascii="游ゴシック" w:cs="游ゴシック" w:eastAsia="游ゴシック" w:hAnsi="游ゴシック"/>
          <w:b/>
          <w:bCs/>
          <w:color w:val="1F3864"/>
          <w:sz w:val="30"/>
          <w:szCs w:val="30"/>
        </w:rPr>
        <w:t xml:space="preserve">照会票　束4　認知症施策と権利擁護</w:t>
      </w:r>
    </w:p>
    <w:p>
      <w:pPr>
        <w:spacing w:after="280" w:line="300" w:lineRule="exact"/>
        <w:jc w:val="center"/>
      </w:pPr>
      <w:r>
        <w:rPr>
          <w:rFonts w:ascii="游ゴシック" w:cs="游ゴシック" w:eastAsia="游ゴシック" w:hAnsi="游ゴシック"/>
          <w:color w:val="595959"/>
          <w:sz w:val="22"/>
          <w:szCs w:val="22"/>
        </w:rPr>
        <w:t xml:space="preserve">ご確認・ご提供をお願いしたい事項　12件</w:t>
      </w:r>
    </w:p>
    <w:p>
      <w:pPr>
        <w:keepNext/>
        <w:spacing w:after="100" w:line="300" w:lineRule="exact"/>
      </w:pPr>
      <w:r>
        <w:rPr>
          <w:rFonts w:ascii="游ゴシック" w:cs="游ゴシック" w:eastAsia="游ゴシック" w:hAnsi="游ゴシック"/>
          <w:b/>
          <w:bCs/>
          <w:color w:val="1F3864"/>
          <w:sz w:val="22"/>
          <w:szCs w:val="22"/>
        </w:rPr>
        <w:t xml:space="preserve">このまとまりのねらい</w:t>
      </w:r>
    </w:p>
    <w:p>
      <w:pPr>
        <w:spacing w:after="240" w:line="300" w:lineRule="exact"/>
      </w:pPr>
      <w:r>
        <w:rPr>
          <w:rFonts w:ascii="游明朝" w:cs="游明朝" w:eastAsia="游明朝" w:hAnsi="游明朝"/>
          <w:sz w:val="21"/>
          <w:szCs w:val="21"/>
        </w:rPr>
        <w:t xml:space="preserve">認知症関連事業の実績、意見を聴く方法、権利擁護センターの相談減の要因を1通にまとめる。</w:t>
      </w:r>
    </w:p>
    <w:p>
      <w:pPr>
        <w:keepNext/>
        <w:spacing w:after="100" w:line="300" w:lineRule="exact"/>
      </w:pPr>
      <w:r>
        <w:rPr>
          <w:rFonts w:ascii="游ゴシック" w:cs="游ゴシック" w:eastAsia="游ゴシック" w:hAnsi="游ゴシック"/>
          <w:b/>
          <w:bCs/>
          <w:color w:val="1F3864"/>
          <w:sz w:val="22"/>
          <w:szCs w:val="22"/>
        </w:rPr>
        <w:t xml:space="preserve">ご回答の方法</w:t>
      </w:r>
    </w:p>
    <w:p>
      <w:pPr>
        <w:spacing w:after="100" w:line="300" w:lineRule="exact"/>
        <w:ind w:left="120"/>
      </w:pPr>
      <w:r>
        <w:rPr>
          <w:rFonts w:ascii="游明朝" w:cs="游明朝" w:eastAsia="游明朝" w:hAnsi="游明朝"/>
          <w:sz w:val="21"/>
          <w:szCs w:val="21"/>
        </w:rPr>
        <w:t xml:space="preserve">1　本票は、第10期計画の策定にあたり村にご確認・ご提供をお願いしたい事項を、まとまりごとに1通にまとめたものです。</w:t>
      </w:r>
    </w:p>
    <w:p>
      <w:pPr>
        <w:spacing w:after="100" w:line="300" w:lineRule="exact"/>
        <w:ind w:left="120"/>
      </w:pPr>
      <w:r>
        <w:rPr>
          <w:rFonts w:ascii="游明朝" w:cs="游明朝" w:eastAsia="游明朝" w:hAnsi="游明朝"/>
          <w:sz w:val="21"/>
          <w:szCs w:val="21"/>
        </w:rPr>
        <w:t xml:space="preserve">2　ご回答は、各表の右端の「ご回答」の欄にご記入のうえ、本ファイルをご返送ください。別紙やメール本文でのご回答でも差し支えありません。</w:t>
      </w:r>
    </w:p>
    <w:p>
      <w:pPr>
        <w:spacing w:after="100" w:line="300" w:lineRule="exact"/>
        <w:ind w:left="120"/>
      </w:pPr>
      <w:r>
        <w:rPr>
          <w:rFonts w:ascii="游明朝" w:cs="游明朝" w:eastAsia="游明朝" w:hAnsi="游明朝"/>
          <w:sz w:val="21"/>
          <w:szCs w:val="21"/>
        </w:rPr>
        <w:t xml:space="preserve">3　すべてにご回答いただく必要はありません。第1部からお願いできれば、以降の工程は当方で進めることができます。</w:t>
      </w:r>
    </w:p>
    <w:p>
      <w:pPr>
        <w:spacing w:after="100" w:line="300" w:lineRule="exact"/>
        <w:ind w:left="120"/>
      </w:pPr>
      <w:r>
        <w:rPr>
          <w:rFonts w:ascii="游明朝" w:cs="游明朝" w:eastAsia="游明朝" w:hAnsi="游明朝"/>
          <w:sz w:val="21"/>
          <w:szCs w:val="21"/>
        </w:rPr>
        <w:t xml:space="preserve">4　数値は、出所（どの資料の何年度のものか）を併せてお示しいただけますと、成果品に出所として記載できます。</w:t>
      </w:r>
    </w:p>
    <w:p>
      <w:pPr>
        <w:spacing w:after="100" w:line="300" w:lineRule="exact"/>
        <w:ind w:left="120"/>
      </w:pPr>
      <w:r>
        <w:rPr>
          <w:rFonts w:ascii="游明朝" w:cs="游明朝" w:eastAsia="游明朝" w:hAnsi="游明朝"/>
          <w:sz w:val="21"/>
          <w:szCs w:val="21"/>
        </w:rPr>
        <w:t xml:space="preserve">5　個人が特定される情報は不要です。集計された数値のみでお願いいたします。</w:t>
      </w:r>
    </w:p>
    <w:p>
      <w:pPr>
        <w:spacing w:after="160" w:line="300" w:lineRule="exact"/>
      </w:pPr>
      <w:r>
        <w:rPr>
          <w:rFonts w:ascii="游明朝" w:cs="游明朝" w:eastAsia="游明朝" w:hAnsi="游明朝"/>
          <w:sz w:val="21"/>
          <w:szCs w:val="21"/>
        </w:rPr>
        <w:t xml:space="preserve"/>
      </w:r>
    </w:p>
    <w:p>
      <w:pPr>
        <w:keepNext/>
        <w:spacing w:after="100" w:line="300" w:lineRule="exact"/>
      </w:pPr>
      <w:r>
        <w:rPr>
          <w:rFonts w:ascii="游ゴシック" w:cs="游ゴシック" w:eastAsia="游ゴシック" w:hAnsi="游ゴシック"/>
          <w:b/>
          <w:bCs/>
          <w:color w:val="1F3864"/>
          <w:sz w:val="22"/>
          <w:szCs w:val="22"/>
        </w:rPr>
        <w:t xml:space="preserve">確認事項の区分について</w:t>
      </w:r>
    </w:p>
    <w:p>
      <w:pPr>
        <w:spacing w:after="140" w:line="300" w:lineRule="exact"/>
      </w:pPr>
      <w:r>
        <w:rPr>
          <w:rFonts w:ascii="游明朝" w:cs="游明朝" w:eastAsia="游明朝" w:hAnsi="游明朝"/>
          <w:sz w:val="21"/>
          <w:szCs w:val="21"/>
        </w:rPr>
        <w:t xml:space="preserve">確認事項は3つに分けております。当方で確かめられることを村にお尋ねしないためです。本票に掲げるのはＣ・Ｄのみで、Ｂは末尾に「ご回答は不要です」として一覧で掲げております。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
        <w:gridCol w:w="8424"/>
      </w:tblGrid>
      <w:tr>
        <w:trPr>
          <w:cantSplit/>
          <w:tblHeader/>
        </w:trPr>
        <w:tc>
          <w:tcPr>
            <w:tcW w:type="dxa" w:w="936"/>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区分</w:t>
            </w:r>
          </w:p>
        </w:tc>
        <w:tc>
          <w:tcPr>
            <w:tcW w:type="dxa" w:w="842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扱い</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Ｂ</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当方で進めます。国・県の原典と公表資料で片がつくものです。ご回答は不要です（末尾に一覧）</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Ｃ</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他の計画・公表資料で当方が先行して整理し、村固有の事実だけをお尋ねします</w:t>
            </w:r>
          </w:p>
        </w:tc>
      </w:tr>
      <w:tr>
        <w:trPr>
          <w:cantSplit/>
          <w:trHeight w:val="700" w:hRule="atLeast"/>
        </w:trPr>
        <w:tc>
          <w:tcPr>
            <w:tcW w:type="dxa" w:w="936"/>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Ｄ</w:t>
            </w:r>
          </w:p>
        </w:tc>
        <w:tc>
          <w:tcPr>
            <w:tcW w:type="dxa" w:w="842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村の決算・実績・内部データ・ご判断でなければ分からない事項です</w:t>
            </w:r>
          </w:p>
        </w:tc>
      </w:tr>
    </w:tbl>
    <w:p>
      <w:pPr>
        <w:spacing w:after="200" w:line="300" w:lineRule="exact"/>
      </w:pPr>
      <w:r>
        <w:rPr>
          <w:rFonts w:ascii="游明朝" w:cs="游明朝" w:eastAsia="游明朝" w:hAnsi="游明朝"/>
          <w:sz w:val="21"/>
          <w:szCs w:val="21"/>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23"/>
        <w:gridCol w:w="6552"/>
        <w:gridCol w:w="1685"/>
      </w:tblGrid>
      <w:tr>
        <w:trPr>
          <w:cantSplit/>
          <w:tblHeader/>
        </w:trPr>
        <w:tc>
          <w:tcPr>
            <w:tcW w:type="dxa" w:w="1123"/>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部</w:t>
            </w:r>
          </w:p>
        </w:tc>
        <w:tc>
          <w:tcPr>
            <w:tcW w:type="dxa" w:w="655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内容</w:t>
            </w:r>
          </w:p>
        </w:tc>
        <w:tc>
          <w:tcPr>
            <w:tcW w:type="dxa" w:w="1685"/>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件数</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第3部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【記載待ち】文言や施策の内容が変わる事項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r>
        <w:trPr>
          <w:cantSplit/>
          <w:trHeight w:val="700" w:hRule="atLeast"/>
        </w:trPr>
        <w:tc>
          <w:tcPr>
            <w:tcW w:type="dxa" w:w="1123"/>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第5部</w:t>
            </w:r>
          </w:p>
        </w:tc>
        <w:tc>
          <w:tcPr>
            <w:tcW w:type="dxa" w:w="655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資料のご提供をお願いしたい事項</w:t>
            </w:r>
          </w:p>
        </w:tc>
        <w:tc>
          <w:tcPr>
            <w:tcW w:type="dxa" w:w="1685"/>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6件</w:t>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第3部　【記載待ち】文言や施策の内容が変わる事項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記載そのものは済んでおり、数値は動きません。ご回答により文言または施策の内容が変わります。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任意後見制度の周知の数え方（成年後見センターとの共催の催しを含めるか）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素案は「任意後見制度については、周知・広報を実施していません」と書いている。村が主催者に名を連ねる催しが現に行われているため、数え方によっては「実施していない」が実態と違う。数値は動かないが、村の取組を過小に書いていること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10月中旬（同上）</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会津権利擁護・成年後見センターへの相談が1年で件数▲43%・時間▲55%と減少した要因</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会津権利擁護・成年後見センターへの相談が1年で件数▲43%・時間▲55%と減った事実を記載している。要因により施策の方向が変わる。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認知症の人およびご家族から意見を聴く方法を定めていない。基本指針が求める事項で、資6（7-6）に一部対応として記載している。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認知症サポーター養成数・認知症地域支援推進員の配置と活動内容・チームオレンジの整備予定</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認知症サポーター養成数は交付金の調査票の値で記載している。推進員の活動内容とチームオレンジの整備予定は空欄。</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認知症施策の実施状況の評価と公表の運用</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認知症施策推進計画としての評価・公表の運用を「村が定める」として記載している。運用が決まれば6-2に具体を書ける。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難聴高齢者の早期発見・早期介入の取組（健診での聴力チェック等）の有無</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難聴の取組の有無を空欄としている。K-033と対になる。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10月下旬</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第5部　資料のご提供をお願いしたい事項</w:t>
      </w:r>
    </w:p>
    <w:p>
      <w:pPr>
        <w:keepNext/>
        <w:pBdr>
          <w:left w:val="single" w:color="C00000" w:sz="18" w:space="8"/>
        </w:pBdr>
        <w:shd w:fill="FFF3F3" w:val="clear"/>
        <w:spacing w:after="220" w:before="60" w:line="280" w:lineRule="exact"/>
        <w:ind w:left="200" w:right="200"/>
      </w:pPr>
      <w:r>
        <w:rPr>
          <w:rFonts w:ascii="游ゴシック" w:cs="游ゴシック" w:eastAsia="游ゴシック" w:hAnsi="游ゴシック"/>
          <w:color w:val="595959"/>
          <w:sz w:val="18"/>
          <w:szCs w:val="18"/>
        </w:rPr>
        <w:t xml:space="preserve">既存の資料をそのままお送りいただければ結構です。作成をお願いするものではありません。お手元にないものは「なし」とご記入ください。</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68"/>
        <w:gridCol w:w="3089"/>
        <w:gridCol w:w="2714"/>
        <w:gridCol w:w="1217"/>
        <w:gridCol w:w="1872"/>
      </w:tblGrid>
      <w:tr>
        <w:trPr>
          <w:cantSplit/>
          <w:tblHeader/>
        </w:trPr>
        <w:tc>
          <w:tcPr>
            <w:tcW w:type="dxa" w:w="4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
区分</w:t>
            </w:r>
          </w:p>
        </w:tc>
        <w:tc>
          <w:tcPr>
            <w:tcW w:type="dxa" w:w="3089"/>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ご確認・ご提供をお願いしたいこと</w:t>
            </w:r>
          </w:p>
        </w:tc>
        <w:tc>
          <w:tcPr>
            <w:tcW w:type="dxa" w:w="271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当方の現在の扱い</w:t>
            </w:r>
          </w:p>
        </w:tc>
        <w:tc>
          <w:tcPr>
            <w:tcW w:type="dxa" w:w="1217"/>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ご回答が必要な時期</w:t>
            </w:r>
          </w:p>
        </w:tc>
        <w:tc>
          <w:tcPr>
            <w:tcW w:type="dxa" w:w="1872"/>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ご回答</w:t>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公共交通事業者・金融機関・小売業者等との連携の範囲</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認知症基本法第7条は、これらの事業者に認知症の人への必要かつ合理的な配慮を求める（努力義務）。第15条のバリアフリー化の民間側の受け皿。村内および近隣の事業者にどこまで働きかけるかを定める。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成年後見の中核機関の整備圏域（調査票は「市町村圏域」だが実態は会津圏域13市町村の共同運営か）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相談件数表から会津権利擁護・成年後見センターへの委託と見られるが、調査票の回答は市町村圏域。計画の記述の正確性に関わる。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
Ｃ</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成年後見制度利用支援事業は両計画で別の事業である旨の注記と、本計画側の任意事業としての助成の実績</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本村の成年後見制度の利用者4人（令和8年7月）のうち、障害者手帳の所持者または障がい福祉サービスの利用者が何人かをご教示いただきたい。障がい福祉計画の側からも同じ内容を照会しているため、回答は一度で足り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4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若年性認知症（65歳未満で認知症となった方）の状況</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16条第2項は、若年性認知症の人その他の認知症の人の意欲および能力に応じた雇用の継続・円滑な就職に資する施策を求める。若年性認知症の方は介護保険では第2号被保険者となり、就労の継続が生活の基盤に直結する。本村の該当者の状況が未把握。</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5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認知症の日（9月21日）・認知症月間（9月）の取組</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基本法第9条第3項は、地方公共団体に対し認知症の日にふさわしい事業の実施（努力義務）と、認知症月間にふさわしい行事が実施されるよう奨励すること（義務）を定める。本村に該当する取組がない。普及啓発の機会として計画に位置づけたが、実施の可否と内容を村と協議す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r>
        <w:trPr>
          <w:cantSplit/>
          <w:trHeight w:val="700" w:hRule="atLeast"/>
        </w:trPr>
        <w:tc>
          <w:tcPr>
            <w:tcW w:type="dxa" w:w="4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6
Ｄ</w:t>
            </w:r>
          </w:p>
        </w:tc>
        <w:tc>
          <w:tcPr>
            <w:tcW w:type="dxa" w:w="3089"/>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認知症施策推進計画として、基本法第15条（バリアフリー化）にどこまで取り組むか</w:t>
            </w:r>
          </w:p>
        </w:tc>
        <w:tc>
          <w:tcPr>
            <w:tcW w:type="dxa" w:w="271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認知症の人が外出・買い物・金融機関の利用などで困ることへの対応は介護保険の枠組みの外にある。庁内の関係部署および事業者との連携の範囲を定める必要がある。素案4-7(2)で【要検討】としている。</w:t>
            </w:r>
          </w:p>
        </w:tc>
        <w:tc>
          <w:tcPr>
            <w:tcW w:type="dxa" w:w="1217"/>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w:t>
            </w:r>
          </w:p>
        </w:tc>
        <w:tc>
          <w:tcPr>
            <w:tcW w:type="dxa" w:w="1872"/>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
            </w:r>
          </w:p>
        </w:tc>
      </w:tr>
    </w:tbl>
    <w:p>
      <w:r>
        <w:br w:type="page"/>
      </w:r>
    </w:p>
    <w:p>
      <w:pPr>
        <w:pStyle w:val="Heading1"/>
        <w:keepNext/>
        <w:shd w:fill="1F3864" w:val="clear"/>
        <w:spacing w:after="240" w:before="0"/>
      </w:pPr>
      <w:r>
        <w:rPr>
          <w:rFonts w:ascii="游ゴシック" w:cs="游ゴシック" w:eastAsia="游ゴシック" w:hAnsi="游ゴシック"/>
          <w:b/>
          <w:bCs/>
          <w:color w:val="FFFFFF"/>
          <w:sz w:val="26"/>
          <w:szCs w:val="26"/>
        </w:rPr>
        <w:t xml:space="preserve">参考　当方で進める事項（3件）　―　ご回答は不要です</w:t>
      </w:r>
    </w:p>
    <w:p>
      <w:pPr>
        <w:spacing w:after="200" w:line="300" w:lineRule="exact"/>
      </w:pPr>
      <w:r>
        <w:rPr>
          <w:rFonts w:ascii="游明朝" w:cs="游明朝" w:eastAsia="游明朝" w:hAnsi="游明朝"/>
          <w:sz w:val="21"/>
          <w:szCs w:val="21"/>
        </w:rPr>
        <w:t xml:space="preserve">次の事項は、国・県の原典および公表資料で当方が確かめられるものです。当方で解消すべき計算上・資料解釈上の疑問を村にお尋ねするのは筋が通らないため、本票から外しております。確認の結果は成果品に反映し、公表資料では村固有の事実を置き換えられないことが分かった場合は、改めてご照会いたします。</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4"/>
        <w:gridCol w:w="4118"/>
        <w:gridCol w:w="4868"/>
      </w:tblGrid>
      <w:tr>
        <w:trPr>
          <w:cantSplit/>
          <w:tblHeader/>
        </w:trPr>
        <w:tc>
          <w:tcPr>
            <w:tcW w:type="dxa" w:w="374"/>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w:t>
            </w:r>
          </w:p>
        </w:tc>
        <w:tc>
          <w:tcPr>
            <w:tcW w:type="dxa" w:w="411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事項</w:t>
            </w:r>
          </w:p>
        </w:tc>
        <w:tc>
          <w:tcPr>
            <w:tcW w:type="dxa" w:w="4868"/>
            <w:shd w:fill="2E75B6" w:val="clear"/>
            <w:tcMar>
              <w:top w:type="dxa" w:w="70"/>
              <w:left w:type="dxa" w:w="90"/>
              <w:bottom w:type="dxa" w:w="70"/>
              <w:right w:type="dxa" w:w="90"/>
            </w:tcMar>
          </w:tcPr>
          <w:p>
            <w:pPr>
              <w:spacing w:after="0" w:line="250" w:lineRule="exact"/>
              <w:jc w:val="center"/>
            </w:pPr>
            <w:r>
              <w:rPr>
                <w:rFonts w:ascii="游ゴシック" w:cs="游ゴシック" w:eastAsia="游ゴシック" w:hAnsi="游ゴシック"/>
                <w:b/>
                <w:bCs/>
                <w:color w:val="FFFFFF"/>
                <w:sz w:val="17"/>
                <w:szCs w:val="17"/>
              </w:rPr>
              <w:t xml:space="preserve">当方で行うこと</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1</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リスク判定10種の該当基準（見える化システムの算出方法との突合）</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見える化システムの指標の算出方法は公表されている。当方が突き合わせる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2</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認知症高齢者自立度（B7）の認定者数合計が認定者数（B4-a）と一致しない</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見える化システムのB7とB4-aの定義の差である。当方が指標の説明で確かめる</w:t>
            </w:r>
          </w:p>
        </w:tc>
      </w:tr>
      <w:tr>
        <w:trPr>
          <w:cantSplit/>
          <w:trHeight w:val="700" w:hRule="atLeast"/>
        </w:trPr>
        <w:tc>
          <w:tcPr>
            <w:tcW w:type="dxa" w:w="374"/>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3</w:t>
            </w:r>
          </w:p>
        </w:tc>
        <w:tc>
          <w:tcPr>
            <w:tcW w:type="dxa" w:w="411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死亡場所別の死亡数（人口動態統計の市町村別の公表の粒度）</w:t>
            </w:r>
          </w:p>
        </w:tc>
        <w:tc>
          <w:tcPr>
            <w:tcW w:type="dxa" w:w="4868"/>
            <w:shd w:fill="FFFFFF" w:val="clear"/>
            <w:tcMar>
              <w:top w:type="dxa" w:w="70"/>
              <w:left w:type="dxa" w:w="90"/>
              <w:bottom w:type="dxa" w:w="70"/>
              <w:right w:type="dxa" w:w="90"/>
            </w:tcMar>
          </w:tcPr>
          <w:p>
            <w:pPr>
              <w:spacing w:after="0" w:line="250" w:lineRule="exact"/>
            </w:pPr>
            <w:r>
              <w:rPr>
                <w:rFonts w:ascii="游ゴシック" w:cs="游ゴシック" w:eastAsia="游ゴシック" w:hAnsi="游ゴシック"/>
                <w:b w:val="false"/>
                <w:bCs w:val="false"/>
                <w:color w:val="000000"/>
                <w:sz w:val="17"/>
                <w:szCs w:val="17"/>
              </w:rPr>
              <w:t xml:space="preserve">人口動態統計の市町村別の公表の粒度は当方が確かめられる</w:t>
            </w:r>
          </w:p>
        </w:tc>
      </w:tr>
    </w:tbl>
    <w:p>
      <w:pPr>
        <w:spacing w:after="200" w:line="300" w:lineRule="exact"/>
      </w:pPr>
      <w:r>
        <w:rPr>
          <w:rFonts w:ascii="游明朝" w:cs="游明朝" w:eastAsia="游明朝" w:hAnsi="游明朝"/>
          <w:sz w:val="21"/>
          <w:szCs w:val="21"/>
        </w:rPr>
        <w:t xml:space="preserve"/>
      </w:r>
    </w:p>
    <w:p>
      <w:r>
        <w:br w:type="page"/>
      </w:r>
    </w:p>
    <w:p>
      <w:pPr>
        <w:spacing w:after="200" w:line="300" w:lineRule="exact"/>
      </w:pPr>
      <w:r>
        <w:rPr>
          <w:rFonts w:ascii="游ゴシック" w:cs="游ゴシック" w:eastAsia="游ゴシック" w:hAnsi="游ゴシック"/>
          <w:b/>
          <w:bCs/>
          <w:color w:val="1F3864"/>
          <w:sz w:val="24"/>
          <w:szCs w:val="24"/>
        </w:rPr>
        <w:t xml:space="preserve">お問い合わせ・ご返送先</w:t>
      </w:r>
    </w:p>
    <w:p>
      <w:pPr>
        <w:spacing w:after="60" w:line="300" w:lineRule="exact"/>
      </w:pPr>
      <w:r>
        <w:rPr>
          <w:rFonts w:ascii="游ゴシック" w:cs="游ゴシック" w:eastAsia="游ゴシック" w:hAnsi="游ゴシック"/>
          <w:sz w:val="21"/>
          <w:szCs w:val="21"/>
        </w:rPr>
        <w:t xml:space="preserve">ビズアップ公共コンサルティング株式会社</w:t>
      </w:r>
    </w:p>
    <w:p>
      <w:pPr>
        <w:spacing w:after="240" w:line="300" w:lineRule="exact"/>
      </w:pPr>
      <w:r>
        <w:rPr>
          <w:rFonts w:ascii="游ゴシック" w:cs="游ゴシック" w:eastAsia="游ゴシック" w:hAnsi="游ゴシック"/>
          <w:sz w:val="21"/>
          <w:szCs w:val="21"/>
        </w:rPr>
        <w:t xml:space="preserve">第10期北塩原村高齢者福祉計画・介護保険事業計画策定業務　担当</w:t>
      </w:r>
    </w:p>
    <w:p>
      <w:pPr>
        <w:spacing w:after="120" w:line="300" w:lineRule="exact"/>
      </w:pPr>
      <w:r>
        <w:rPr>
          <w:rFonts w:ascii="游明朝" w:cs="游明朝" w:eastAsia="游明朝" w:hAnsi="游明朝"/>
          <w:sz w:val="21"/>
          <w:szCs w:val="21"/>
        </w:rPr>
        <w:t xml:space="preserve">本票の「#」は、各部の中での通し番号です。ご回答の際は「部」と「#」をお示しいただけますと助かります。</w:t>
      </w:r>
    </w:p>
    <w:p>
      <w:pPr>
        <w:spacing w:after="120" w:line="300" w:lineRule="exact"/>
      </w:pPr>
      <w:r>
        <w:rPr>
          <w:rFonts w:ascii="游明朝" w:cs="游明朝" w:eastAsia="游明朝" w:hAnsi="游明朝"/>
          <w:sz w:val="21"/>
          <w:szCs w:val="21"/>
        </w:rPr>
        <w:t xml:space="preserve">様式や記入の仕方についてのご相談も承ります。お手元にない資料は「なし」とご記入いただければ、当方で代わりの手だてを検討します。</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ゴシック" w:cs="游ゴシック" w:eastAsia="游ゴシック" w:hAnsi="游ゴシック"/>
        <w:color w:val="595959"/>
        <w:sz w:val="18"/>
        <w:szCs w:val="18"/>
      </w:rPr>
      <w:t xml:space="preserve">束4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游ゴシック" w:cs="游ゴシック" w:eastAsia="游ゴシック" w:hAnsi="游ゴシック"/>
      <w:b/>
      <w:bCs/>
      <w:color w:val="FFFFFF"/>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2026-10-19T03:08:38.801Z</dcterms:created>
  <dcterms:modified xsi:type="dcterms:W3CDTF">2026-10-19T03:08:38.801Z</dcterms:modified>
</cp:coreProperties>
</file>

<file path=docProps/custom.xml><?xml version="1.0" encoding="utf-8"?>
<Properties xmlns="http://schemas.openxmlformats.org/officeDocument/2006/custom-properties" xmlns:vt="http://schemas.openxmlformats.org/officeDocument/2006/docPropsVTypes"/>
</file>