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23.8人／月で村内定員27人の88.1%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7年度に88.1%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23.8人／月（令和7年度）。稼働率88%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D13・D17により算定</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936"/>
        <w:gridCol w:w="936"/>
        <w:gridCol w:w="936"/>
        <w:gridCol w:w="936"/>
        <w:gridCol w:w="936"/>
        <w:gridCol w:w="936"/>
        <w:gridCol w:w="936"/>
        <w:gridCol w:w="842"/>
        <w:gridCol w:w="6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6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808"/>
        <w:gridCol w:w="374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23.8人／月で、村内グループホームの定員27人に対する稼働率は88%です。令和5年度の74.8%から上がり続けており、村内の受け皿の余地は狭まっています。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いずれも計画期間に村内の定員を超えません。最も高いのは通所介護の令和11年度で83.6%です。したがって定員による頭打ちを課しても見込量は動きません。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第10期の保険料基準額</w:t>
      </w:r>
    </w:p>
    <w:p>
      <w:pPr>
        <w:spacing w:after="120" w:line="300"/>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w:t>
      </w:r>
    </w:p>
    <w:p>
      <w:pPr>
        <w:spacing w:after="120" w:line="300"/>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pPr>
      <w:r>
        <w:rPr>
          <w:rFonts w:ascii="游ゴシック" w:cs="游ゴシック" w:eastAsia="游ゴシック" w:hAnsi="游ゴシック"/>
          <w:b/>
          <w:bCs/>
          <w:color w:val="2E75B6"/>
          <w:sz w:val="22"/>
          <w:szCs w:val="22"/>
        </w:rPr>
        <w:t xml:space="preserve">確定した算定の係数</w:t>
      </w:r>
    </w:p>
    <w:p>
      <w:pPr>
        <w:spacing w:after="120" w:line="300"/>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介護給付費準備基金の取崩しの水準</w:t>
      </w:r>
    </w:p>
    <w:p>
      <w:pPr>
        <w:spacing w:after="120" w:line="300"/>
      </w:pPr>
      <w:r>
        <w:rPr>
          <w:rFonts w:ascii="游ゴシック" w:cs="游ゴシック" w:eastAsia="游ゴシック" w:hAnsi="游ゴシック"/>
          <w:sz w:val="21"/>
          <w:szCs w:val="21"/>
        </w:rPr>
        <w:t xml:space="preserve">第10期で基金をほぼ使い切るため、第11期には取崩しの余地が残りません。国の推計ワークシートは、第11期の保険料基準額を月額7,301.29円（第10期比＋1,788円・＋32.4%）と出力しています。第10期を下げるほど第11期の上がり幅が大きくなる関係にあり、取崩額をいくらにするかは世代間の負担の公平に関わる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回策定委員会には、取崩額を変えた場合の第10期と第11期の保険料の対比をお示しします。国の推計ワークシートどおりの40,000千円、第9期と同程度の24,000千円、取崩しなしの3案で組みます。取崩額を減らせば第10期は上がりますが、第11期の上がり幅は和らぎ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そのものは保険料の仕組みから導かれるため、国の値に組み替えても大きくは変わりません。</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標準13段階。国の推計ワークシートで弾力化の行が空であることを確認済。乗率は第9期の設定を据え置き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国の推計ワークシートの40,000千円（残高42,128千円の94.9%）を本体とし、24,000千円・取崩なしを併記。取崩しを減らすと第10期は上がるが第11期の＋32.4%は和らぐ</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村の決定（世代間の負担の公平に関わる）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88.1%・通所介護77.8%（令和7年度）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d9f1cd090c5ab68fed2f1e1374a9588c6d73feb4.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2026-10-08T01:03:09.828Z</dcterms:created>
  <dcterms:modified xsi:type="dcterms:W3CDTF">2026-10-08T01:03:09.828Z</dcterms:modified>
</cp:coreProperties>
</file>

<file path=docProps/custom.xml><?xml version="1.0" encoding="utf-8"?>
<Properties xmlns="http://schemas.openxmlformats.org/officeDocument/2006/custom-properties" xmlns:vt="http://schemas.openxmlformats.org/officeDocument/2006/docPropsVTypes"/>
</file>