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協議用素案（令和8年9月時点）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令和8（2026）年9月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101</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【通常の事業の実施地域による確認】</w:t>
      </w:r>
    </w:p>
    <w:p>
      <w:pPr>
        <w:spacing w:after="80"/>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事業所数</w:t>
            </w:r>
          </w:p>
        </w:tc>
        <w:tc>
          <w:tcPr>
            <w:tcW w:type="dxa" w:w="907"/>
          </w:tcPr>
          <w:p>
            <w:r/>
            <w:r>
              <w:rPr>
                <w:rFonts w:ascii="游ゴシック" w:hAnsi="游ゴシック" w:eastAsia="游ゴシック"/>
                <w:b/>
                <w:sz w:val="17"/>
              </w:rPr>
              <w:t>東川町</w:t>
            </w:r>
          </w:p>
        </w:tc>
        <w:tc>
          <w:tcPr>
            <w:tcW w:type="dxa" w:w="907"/>
          </w:tcPr>
          <w:p>
            <w:r/>
            <w:r>
              <w:rPr>
                <w:rFonts w:ascii="游ゴシック" w:hAnsi="游ゴシック" w:eastAsia="游ゴシック"/>
                <w:b/>
                <w:sz w:val="17"/>
              </w:rPr>
              <w:t>美瑛町</w:t>
            </w:r>
          </w:p>
        </w:tc>
        <w:tc>
          <w:tcPr>
            <w:tcW w:type="dxa" w:w="1020"/>
          </w:tcPr>
          <w:p>
            <w:r/>
            <w:r>
              <w:rPr>
                <w:rFonts w:ascii="游ゴシック" w:hAnsi="游ゴシック" w:eastAsia="游ゴシック"/>
                <w:b/>
                <w:sz w:val="17"/>
              </w:rPr>
              <w:t>東神楽町</w:t>
            </w:r>
          </w:p>
        </w:tc>
        <w:tc>
          <w:tcPr>
            <w:tcW w:type="dxa" w:w="3515"/>
          </w:tcPr>
          <w:p>
            <w:r/>
            <w:r>
              <w:rPr>
                <w:rFonts w:ascii="游ゴシック" w:hAnsi="游ゴシック" w:eastAsia="游ゴシック"/>
                <w:b/>
                <w:sz w:val="17"/>
              </w:rPr>
              <w:t>見方</w:t>
            </w:r>
          </w:p>
        </w:tc>
      </w:tr>
      <w:t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jc w:val="right"/>
      </w:pPr>
      <w:r>
        <w:rPr>
          <w:rFonts w:ascii="游ゴシック" w:hAnsi="游ゴシック" w:eastAsia="游ゴシック"/>
          <w:b w:val="0"/>
          <w:sz w:val="17"/>
        </w:rPr>
        <w:t>資料：北海道　介護保険事業所一覧（運営規程の「通常の事業の実施地域」）</w:t>
      </w:r>
    </w:p>
    <w:p>
      <w:pPr>
        <w:spacing w:after="80"/>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【2040年を見据えた地域類型の考え方】</w:t>
      </w:r>
    </w:p>
    <w:p>
      <w:pPr>
        <w:spacing w:after="80"/>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【医療と介護の協議の場の再編成】</w:t>
      </w:r>
    </w:p>
    <w:p>
      <w:pPr>
        <w:spacing w:after="80"/>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773"/>
          </w:tcPr>
          <w:p>
            <w:r/>
            <w:r>
              <w:rPr>
                <w:rFonts w:ascii="游ゴシック" w:hAnsi="游ゴシック" w:eastAsia="游ゴシック"/>
                <w:b/>
                <w:sz w:val="17"/>
              </w:rPr>
              <w:t>事項</w:t>
            </w:r>
          </w:p>
        </w:tc>
        <w:tc>
          <w:tcPr>
            <w:tcW w:type="dxa" w:w="3546"/>
          </w:tcPr>
          <w:p>
            <w:r/>
            <w:r>
              <w:rPr>
                <w:rFonts w:ascii="游ゴシック" w:hAnsi="游ゴシック" w:eastAsia="游ゴシック"/>
                <w:b/>
                <w:sz w:val="17"/>
              </w:rPr>
              <w:t>内容</w:t>
            </w:r>
          </w:p>
        </w:tc>
        <w:tc>
          <w:tcPr>
            <w:tcW w:type="dxa" w:w="1674"/>
          </w:tcPr>
          <w:p>
            <w:r/>
            <w:r>
              <w:rPr>
                <w:rFonts w:ascii="游ゴシック" w:hAnsi="游ゴシック" w:eastAsia="游ゴシック"/>
                <w:b/>
                <w:sz w:val="17"/>
              </w:rPr>
              <w:t>施行等の時期</w:t>
            </w:r>
          </w:p>
        </w:tc>
        <w:tc>
          <w:tcPr>
            <w:tcW w:type="dxa" w:w="2758"/>
          </w:tcPr>
          <w:p>
            <w:r/>
            <w:r>
              <w:rPr>
                <w:rFonts w:ascii="游ゴシック" w:hAnsi="游ゴシック" w:eastAsia="游ゴシック"/>
                <w:b/>
                <w:sz w:val="17"/>
              </w:rPr>
              <w:t>本計画における取扱い</w:t>
            </w:r>
          </w:p>
        </w:tc>
      </w:tr>
      <w:t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【運営法人の状況】</w:t>
      </w:r>
    </w:p>
    <w:p>
      <w:pPr>
        <w:spacing w:after="80"/>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28"/>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事業所数</w:t>
            </w:r>
          </w:p>
        </w:tc>
        <w:tc>
          <w:tcPr>
            <w:tcW w:type="dxa" w:w="1928"/>
          </w:tcPr>
          <w:p>
            <w:r/>
            <w:r>
              <w:rPr>
                <w:rFonts w:ascii="游ゴシック" w:hAnsi="游ゴシック" w:eastAsia="游ゴシック"/>
                <w:b/>
                <w:sz w:val="17"/>
              </w:rPr>
              <w:t>実事業所に対する割合</w:t>
            </w:r>
          </w:p>
        </w:tc>
        <w:tc>
          <w:tcPr>
            <w:tcW w:type="dxa" w:w="2948"/>
          </w:tcPr>
          <w:p>
            <w:r/>
            <w:r>
              <w:rPr>
                <w:rFonts w:ascii="游ゴシック" w:hAnsi="游ゴシック" w:eastAsia="游ゴシック"/>
                <w:b/>
                <w:sz w:val="17"/>
              </w:rPr>
              <w:t>備考</w:t>
            </w:r>
          </w:p>
        </w:tc>
      </w:tr>
      <w:t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jc w:val="right"/>
      </w:pPr>
      <w:r>
        <w:rPr>
          <w:rFonts w:ascii="游ゴシック" w:hAnsi="游ゴシック" w:eastAsia="游ゴシック"/>
          <w:b w:val="0"/>
          <w:sz w:val="17"/>
        </w:rPr>
        <w:t>資料：北海道　介護保険事業所一覧（令和8年6月30日現在）</w:t>
      </w:r>
    </w:p>
    <w:p>
      <w:pPr>
        <w:spacing w:after="80"/>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【調査の対象者の範囲】</w:t>
      </w:r>
    </w:p>
    <w:p>
      <w:pPr>
        <w:spacing w:after="80"/>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【1　主要指標の状況】</w:t>
      </w:r>
    </w:p>
    <w:p>
      <w:pPr>
        <w:spacing w:after="80"/>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51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広域連合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　年齢構成の影響と町間の差】</w:t>
      </w:r>
    </w:p>
    <w:p>
      <w:pPr>
        <w:spacing w:after="80"/>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268"/>
          </w:tcPr>
          <w:p>
            <w:r/>
            <w:r>
              <w:rPr>
                <w:rFonts w:ascii="游ゴシック" w:hAnsi="游ゴシック" w:eastAsia="游ゴシック"/>
                <w:b/>
                <w:sz w:val="17"/>
              </w:rPr>
              <w:t>指標</w:t>
            </w:r>
          </w:p>
        </w:tc>
        <w:tc>
          <w:tcPr>
            <w:tcW w:type="dxa" w:w="1191"/>
          </w:tcPr>
          <w:p>
            <w:r/>
            <w:r>
              <w:rPr>
                <w:rFonts w:ascii="游ゴシック" w:hAnsi="游ゴシック" w:eastAsia="游ゴシック"/>
                <w:b/>
                <w:sz w:val="17"/>
              </w:rPr>
              <w:t>東川町</w:t>
              <w:br/>
              <w:t>粗率</w:t>
            </w:r>
          </w:p>
        </w:tc>
        <w:tc>
          <w:tcPr>
            <w:tcW w:type="dxa" w:w="1191"/>
          </w:tcPr>
          <w:p>
            <w:r/>
            <w:r>
              <w:rPr>
                <w:rFonts w:ascii="游ゴシック" w:hAnsi="游ゴシック" w:eastAsia="游ゴシック"/>
                <w:b/>
                <w:sz w:val="17"/>
              </w:rPr>
              <w:t>東川町</w:t>
              <w:br/>
              <w:t>調整</w:t>
            </w:r>
          </w:p>
        </w:tc>
        <w:tc>
          <w:tcPr>
            <w:tcW w:type="dxa" w:w="1191"/>
          </w:tcPr>
          <w:p>
            <w:r/>
            <w:r>
              <w:rPr>
                <w:rFonts w:ascii="游ゴシック" w:hAnsi="游ゴシック" w:eastAsia="游ゴシック"/>
                <w:b/>
                <w:sz w:val="17"/>
              </w:rPr>
              <w:t>美瑛町</w:t>
              <w:br/>
              <w:t>粗率</w:t>
            </w:r>
          </w:p>
        </w:tc>
        <w:tc>
          <w:tcPr>
            <w:tcW w:type="dxa" w:w="1191"/>
          </w:tcPr>
          <w:p>
            <w:r/>
            <w:r>
              <w:rPr>
                <w:rFonts w:ascii="游ゴシック" w:hAnsi="游ゴシック" w:eastAsia="游ゴシック"/>
                <w:b/>
                <w:sz w:val="17"/>
              </w:rPr>
              <w:t>美瑛町</w:t>
              <w:br/>
              <w:t>調整</w:t>
            </w:r>
          </w:p>
        </w:tc>
        <w:tc>
          <w:tcPr>
            <w:tcW w:type="dxa" w:w="1191"/>
          </w:tcPr>
          <w:p>
            <w:r/>
            <w:r>
              <w:rPr>
                <w:rFonts w:ascii="游ゴシック" w:hAnsi="游ゴシック" w:eastAsia="游ゴシック"/>
                <w:b/>
                <w:sz w:val="17"/>
              </w:rPr>
              <w:t>東神楽町</w:t>
              <w:br/>
              <w:t>粗率</w:t>
            </w:r>
          </w:p>
        </w:tc>
        <w:tc>
          <w:tcPr>
            <w:tcW w:type="dxa" w:w="1191"/>
          </w:tcPr>
          <w:p>
            <w:r/>
            <w:r>
              <w:rPr>
                <w:rFonts w:ascii="游ゴシック" w:hAnsi="游ゴシック" w:eastAsia="游ゴシック"/>
                <w:b/>
                <w:sz w:val="17"/>
              </w:rPr>
              <w:t>東神楽町</w:t>
              <w:br/>
              <w:t>調整</w:t>
            </w:r>
          </w:p>
        </w:tc>
      </w:tr>
      <w:t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【3　同規模の保険者との比較】</w:t>
      </w:r>
    </w:p>
    <w:p>
      <w:pPr>
        <w:spacing w:after="80"/>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70"/>
          </w:tcPr>
          <w:p>
            <w:r/>
            <w:r>
              <w:rPr>
                <w:rFonts w:ascii="游ゴシック" w:hAnsi="游ゴシック" w:eastAsia="游ゴシック"/>
                <w:b/>
                <w:sz w:val="17"/>
              </w:rPr>
              <w:t>指標</w:t>
            </w:r>
          </w:p>
        </w:tc>
        <w:tc>
          <w:tcPr>
            <w:tcW w:type="dxa" w:w="1274"/>
          </w:tcPr>
          <w:p>
            <w:r/>
            <w:r>
              <w:rPr>
                <w:rFonts w:ascii="游ゴシック" w:hAnsi="游ゴシック" w:eastAsia="游ゴシック"/>
                <w:b/>
                <w:sz w:val="17"/>
              </w:rPr>
              <w:t>大雪地区</w:t>
              <w:br/>
              <w:t>広域連合</w:t>
            </w:r>
          </w:p>
        </w:tc>
        <w:tc>
          <w:tcPr>
            <w:tcW w:type="dxa" w:w="1108"/>
          </w:tcPr>
          <w:p>
            <w:r/>
            <w:r>
              <w:rPr>
                <w:rFonts w:ascii="游ゴシック" w:hAnsi="游ゴシック" w:eastAsia="游ゴシック"/>
                <w:b/>
                <w:sz w:val="17"/>
              </w:rPr>
              <w:t>同規模</w:t>
            </w:r>
          </w:p>
        </w:tc>
        <w:tc>
          <w:tcPr>
            <w:tcW w:type="dxa" w:w="997"/>
          </w:tcPr>
          <w:p>
            <w:r/>
            <w:r>
              <w:rPr>
                <w:rFonts w:ascii="游ゴシック" w:hAnsi="游ゴシック" w:eastAsia="游ゴシック"/>
                <w:b/>
                <w:sz w:val="17"/>
              </w:rPr>
              <w:t>差</w:t>
            </w:r>
          </w:p>
        </w:tc>
        <w:tc>
          <w:tcPr>
            <w:tcW w:type="dxa" w:w="3601"/>
          </w:tcPr>
          <w:p>
            <w:r/>
            <w:r>
              <w:rPr>
                <w:rFonts w:ascii="游ゴシック" w:hAnsi="游ゴシック" w:eastAsia="游ゴシック"/>
                <w:b/>
                <w:sz w:val="17"/>
              </w:rPr>
              <w:t>内容</w:t>
            </w:r>
          </w:p>
        </w:tc>
      </w:tr>
      <w:t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【4　社会参加との関連】</w:t>
      </w:r>
    </w:p>
    <w:p>
      <w:pPr>
        <w:spacing w:after="80"/>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参加あり</w:t>
            </w:r>
          </w:p>
        </w:tc>
        <w:tc>
          <w:tcPr>
            <w:tcW w:type="dxa" w:w="1474"/>
          </w:tcPr>
          <w:p>
            <w:r/>
            <w:r>
              <w:rPr>
                <w:rFonts w:ascii="游ゴシック" w:hAnsi="游ゴシック" w:eastAsia="游ゴシック"/>
                <w:b/>
                <w:sz w:val="17"/>
              </w:rPr>
              <w:t>参加なし</w:t>
            </w:r>
          </w:p>
        </w:tc>
        <w:tc>
          <w:tcPr>
            <w:tcW w:type="dxa" w:w="1247"/>
          </w:tcPr>
          <w:p>
            <w:r/>
            <w:r>
              <w:rPr>
                <w:rFonts w:ascii="游ゴシック" w:hAnsi="游ゴシック" w:eastAsia="游ゴシック"/>
                <w:b/>
                <w:sz w:val="17"/>
              </w:rPr>
              <w:t>差</w:t>
            </w:r>
          </w:p>
        </w:tc>
        <w:tc>
          <w:tcPr>
            <w:tcW w:type="dxa" w:w="2041"/>
          </w:tcPr>
          <w:p>
            <w:r/>
            <w:r>
              <w:rPr>
                <w:rFonts w:ascii="游ゴシック" w:hAnsi="游ゴシック" w:eastAsia="游ゴシック"/>
                <w:b/>
                <w:sz w:val="17"/>
              </w:rPr>
              <w:t>検定</w:t>
            </w:r>
          </w:p>
        </w:tc>
      </w:tr>
      <w:t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【5　暮らし向きとの関連】</w:t>
      </w:r>
    </w:p>
    <w:p>
      <w:pPr>
        <w:spacing w:after="80"/>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494"/>
          </w:tcPr>
          <w:p>
            <w:r/>
            <w:r>
              <w:rPr>
                <w:rFonts w:ascii="游ゴシック" w:hAnsi="游ゴシック" w:eastAsia="游ゴシック"/>
                <w:b/>
                <w:sz w:val="17"/>
              </w:rPr>
              <w:t>指標</w:t>
            </w:r>
          </w:p>
        </w:tc>
        <w:tc>
          <w:tcPr>
            <w:tcW w:type="dxa" w:w="1134"/>
          </w:tcPr>
          <w:p>
            <w:r/>
            <w:r>
              <w:rPr>
                <w:rFonts w:ascii="游ゴシック" w:hAnsi="游ゴシック" w:eastAsia="游ゴシック"/>
                <w:b/>
                <w:sz w:val="17"/>
              </w:rPr>
              <w:t>大変苦しい</w:t>
            </w:r>
          </w:p>
        </w:tc>
        <w:tc>
          <w:tcPr>
            <w:tcW w:type="dxa" w:w="1134"/>
          </w:tcPr>
          <w:p>
            <w:r/>
            <w:r>
              <w:rPr>
                <w:rFonts w:ascii="游ゴシック" w:hAnsi="游ゴシック" w:eastAsia="游ゴシック"/>
                <w:b/>
                <w:sz w:val="17"/>
              </w:rPr>
              <w:t>やや苦しい</w:t>
            </w:r>
          </w:p>
        </w:tc>
        <w:tc>
          <w:tcPr>
            <w:tcW w:type="dxa" w:w="1077"/>
          </w:tcPr>
          <w:p>
            <w:r/>
            <w:r>
              <w:rPr>
                <w:rFonts w:ascii="游ゴシック" w:hAnsi="游ゴシック" w:eastAsia="游ゴシック"/>
                <w:b/>
                <w:sz w:val="17"/>
              </w:rPr>
              <w:t>ふつう</w:t>
            </w:r>
          </w:p>
        </w:tc>
        <w:tc>
          <w:tcPr>
            <w:tcW w:type="dxa" w:w="1304"/>
          </w:tcPr>
          <w:p>
            <w:r/>
            <w:r>
              <w:rPr>
                <w:rFonts w:ascii="游ゴシック" w:hAnsi="游ゴシック" w:eastAsia="游ゴシック"/>
                <w:b/>
                <w:sz w:val="17"/>
              </w:rPr>
              <w:t>ややゆとりがある</w:t>
            </w:r>
          </w:p>
        </w:tc>
        <w:tc>
          <w:tcPr>
            <w:tcW w:type="dxa" w:w="1304"/>
          </w:tcPr>
          <w:p>
            <w:r/>
            <w:r>
              <w:rPr>
                <w:rFonts w:ascii="游ゴシック" w:hAnsi="游ゴシック" w:eastAsia="游ゴシック"/>
                <w:b/>
                <w:sz w:val="17"/>
              </w:rPr>
              <w:t>大変ゆとりがある</w:t>
            </w:r>
          </w:p>
        </w:tc>
        <w:tc>
          <w:tcPr>
            <w:tcW w:type="dxa" w:w="1077"/>
          </w:tcPr>
          <w:p>
            <w:r/>
            <w:r>
              <w:rPr>
                <w:rFonts w:ascii="游ゴシック" w:hAnsi="游ゴシック" w:eastAsia="游ゴシック"/>
                <w:b/>
                <w:sz w:val="17"/>
              </w:rPr>
              <w:t>検定</w:t>
            </w:r>
          </w:p>
        </w:tc>
      </w:tr>
      <w:t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【6　生活実態の主な値】</w:t>
      </w:r>
    </w:p>
    <w:p>
      <w:pPr>
        <w:spacing w:after="80"/>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175"/>
          </w:tcPr>
          <w:p>
            <w:r/>
            <w:r>
              <w:rPr>
                <w:rFonts w:ascii="游ゴシック" w:hAnsi="游ゴシック" w:eastAsia="游ゴシック"/>
                <w:b/>
                <w:sz w:val="17"/>
              </w:rPr>
              <w:t>項目</w:t>
            </w:r>
          </w:p>
        </w:tc>
        <w:tc>
          <w:tcPr>
            <w:tcW w:type="dxa" w:w="1020"/>
          </w:tcPr>
          <w:p>
            <w:r/>
            <w:r>
              <w:rPr>
                <w:rFonts w:ascii="游ゴシック" w:hAnsi="游ゴシック" w:eastAsia="游ゴシック"/>
                <w:b/>
                <w:sz w:val="17"/>
              </w:rPr>
              <w:t>割合</w:t>
            </w:r>
          </w:p>
        </w:tc>
        <w:tc>
          <w:tcPr>
            <w:tcW w:type="dxa" w:w="1020"/>
          </w:tcPr>
          <w:p>
            <w:r/>
            <w:r>
              <w:rPr>
                <w:rFonts w:ascii="游ゴシック" w:hAnsi="游ゴシック" w:eastAsia="游ゴシック"/>
                <w:b/>
                <w:sz w:val="17"/>
              </w:rPr>
              <w:t>分母</w:t>
            </w:r>
          </w:p>
        </w:tc>
        <w:tc>
          <w:tcPr>
            <w:tcW w:type="dxa" w:w="4195"/>
          </w:tcPr>
          <w:p>
            <w:r/>
            <w:r>
              <w:rPr>
                <w:rFonts w:ascii="游ゴシック" w:hAnsi="游ゴシック" w:eastAsia="游ゴシック"/>
                <w:b/>
                <w:sz w:val="17"/>
              </w:rPr>
              <w:t>内容</w:t>
            </w:r>
          </w:p>
        </w:tc>
      </w:tr>
      <w:t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【7　地区別の状況】</w:t>
      </w:r>
    </w:p>
    <w:p>
      <w:pPr>
        <w:spacing w:after="80"/>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41"/>
          </w:tcPr>
          <w:p>
            <w:r/>
            <w:r>
              <w:rPr>
                <w:rFonts w:ascii="游ゴシック" w:hAnsi="游ゴシック" w:eastAsia="游ゴシック"/>
                <w:b/>
                <w:sz w:val="17"/>
              </w:rPr>
              <w:t>町</w:t>
            </w:r>
          </w:p>
        </w:tc>
        <w:tc>
          <w:tcPr>
            <w:tcW w:type="dxa" w:w="2327"/>
          </w:tcPr>
          <w:p>
            <w:r/>
            <w:r>
              <w:rPr>
                <w:rFonts w:ascii="游ゴシック" w:hAnsi="游ゴシック" w:eastAsia="游ゴシック"/>
                <w:b/>
                <w:sz w:val="17"/>
              </w:rPr>
              <w:t>地区</w:t>
            </w:r>
          </w:p>
        </w:tc>
        <w:tc>
          <w:tcPr>
            <w:tcW w:type="dxa" w:w="1108"/>
          </w:tcPr>
          <w:p>
            <w:r/>
            <w:r>
              <w:rPr>
                <w:rFonts w:ascii="游ゴシック" w:hAnsi="游ゴシック" w:eastAsia="游ゴシック"/>
                <w:b/>
                <w:sz w:val="17"/>
              </w:rPr>
              <w:t>回答者数</w:t>
            </w:r>
          </w:p>
        </w:tc>
        <w:tc>
          <w:tcPr>
            <w:tcW w:type="dxa" w:w="1219"/>
          </w:tcPr>
          <w:p>
            <w:r/>
            <w:r>
              <w:rPr>
                <w:rFonts w:ascii="游ゴシック" w:hAnsi="游ゴシック" w:eastAsia="游ゴシック"/>
                <w:b/>
                <w:sz w:val="17"/>
              </w:rPr>
              <w:t>75歳以上</w:t>
              <w:br/>
              <w:t>構成比</w:t>
            </w:r>
          </w:p>
        </w:tc>
        <w:tc>
          <w:tcPr>
            <w:tcW w:type="dxa" w:w="1219"/>
          </w:tcPr>
          <w:p>
            <w:r/>
            <w:r>
              <w:rPr>
                <w:rFonts w:ascii="游ゴシック" w:hAnsi="游ゴシック" w:eastAsia="游ゴシック"/>
                <w:b/>
                <w:sz w:val="17"/>
              </w:rPr>
              <w:t>フレイル</w:t>
              <w:br/>
              <w:t>あり割合</w:t>
            </w:r>
          </w:p>
        </w:tc>
        <w:tc>
          <w:tcPr>
            <w:tcW w:type="dxa" w:w="1219"/>
          </w:tcPr>
          <w:p>
            <w:r/>
            <w:r>
              <w:rPr>
                <w:rFonts w:ascii="游ゴシック" w:hAnsi="游ゴシック" w:eastAsia="游ゴシック"/>
                <w:b/>
                <w:sz w:val="17"/>
              </w:rPr>
              <w:t>閉じこもり</w:t>
              <w:br/>
              <w:t>者割合</w:t>
            </w:r>
          </w:p>
        </w:tc>
        <w:tc>
          <w:tcPr>
            <w:tcW w:type="dxa" w:w="1219"/>
          </w:tcPr>
          <w:p>
            <w:r/>
            <w:r>
              <w:rPr>
                <w:rFonts w:ascii="游ゴシック" w:hAnsi="游ゴシック" w:eastAsia="游ゴシック"/>
                <w:b/>
                <w:sz w:val="17"/>
              </w:rPr>
              <w:t>社会参加</w:t>
              <w:br/>
              <w:t>あり割合</w:t>
            </w:r>
          </w:p>
        </w:tc>
      </w:tr>
      <w:t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【要介護度別の認定者数】</w:t>
      </w:r>
    </w:p>
    <w:p>
      <w:pPr>
        <w:spacing w:after="80"/>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70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R7（実績）</w:t>
            </w:r>
          </w:p>
        </w:tc>
        <w:tc>
          <w:tcPr>
            <w:tcW w:type="dxa" w:w="1304"/>
          </w:tcPr>
          <w:p>
            <w:r/>
            <w:r>
              <w:rPr>
                <w:rFonts w:ascii="游ゴシック" w:hAnsi="游ゴシック" w:eastAsia="游ゴシック"/>
                <w:b/>
                <w:sz w:val="17"/>
              </w:rPr>
              <w:t>R9</w:t>
            </w:r>
          </w:p>
        </w:tc>
        <w:tc>
          <w:tcPr>
            <w:tcW w:type="dxa" w:w="1304"/>
          </w:tcPr>
          <w:p>
            <w:r/>
            <w:r>
              <w:rPr>
                <w:rFonts w:ascii="游ゴシック" w:hAnsi="游ゴシック" w:eastAsia="游ゴシック"/>
                <w:b/>
                <w:sz w:val="17"/>
              </w:rPr>
              <w:t>R10</w:t>
            </w:r>
          </w:p>
        </w:tc>
        <w:tc>
          <w:tcPr>
            <w:tcW w:type="dxa" w:w="1304"/>
          </w:tcPr>
          <w:p>
            <w:r/>
            <w:r>
              <w:rPr>
                <w:rFonts w:ascii="游ゴシック" w:hAnsi="游ゴシック" w:eastAsia="游ゴシック"/>
                <w:b/>
                <w:sz w:val="17"/>
              </w:rPr>
              <w:t>R11</w:t>
            </w:r>
          </w:p>
        </w:tc>
        <w:tc>
          <w:tcPr>
            <w:tcW w:type="dxa" w:w="1304"/>
          </w:tcPr>
          <w:p>
            <w:r/>
            <w:r>
              <w:rPr>
                <w:rFonts w:ascii="游ゴシック" w:hAnsi="游ゴシック" w:eastAsia="游ゴシック"/>
                <w:b/>
                <w:sz w:val="17"/>
              </w:rPr>
              <w:t>R17</w:t>
            </w:r>
          </w:p>
        </w:tc>
        <w:tc>
          <w:tcPr>
            <w:tcW w:type="dxa" w:w="1304"/>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【見込量の算定方法】</w:t>
      </w:r>
    </w:p>
    <w:p>
      <w:pPr>
        <w:spacing w:after="80"/>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R7実績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R7実績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R7実績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134"/>
          </w:tcPr>
          <w:p>
            <w:r/>
            <w:r>
              <w:rPr>
                <w:rFonts w:ascii="游ゴシック" w:hAnsi="游ゴシック" w:eastAsia="游ゴシック"/>
                <w:b/>
                <w:sz w:val="17"/>
              </w:rPr>
              <w:t>R7実績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020"/>
          </w:tcPr>
          <w:p>
            <w:r/>
            <w:r>
              <w:rPr>
                <w:rFonts w:ascii="游ゴシック" w:hAnsi="游ゴシック" w:eastAsia="游ゴシック"/>
                <w:b/>
                <w:sz w:val="17"/>
              </w:rPr>
              <w:t>R17</w:t>
            </w:r>
          </w:p>
        </w:tc>
        <w:tc>
          <w:tcPr>
            <w:tcW w:type="dxa" w:w="1020"/>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【利用回（日）数】</w:t>
      </w:r>
    </w:p>
    <w:p>
      <w:pPr>
        <w:spacing w:after="80"/>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R7実績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spacing w:after="60"/>
      </w:pPr>
      <w:r>
        <w:rPr>
          <w:rFonts w:ascii="游ゴシック" w:hAnsi="游ゴシック" w:eastAsia="游ゴシック"/>
          <w:b/>
          <w:sz w:val="20"/>
        </w:rPr>
        <w:t>【介護予防・日常生活支援総合事業の量の見込み】</w:t>
      </w:r>
    </w:p>
    <w:p>
      <w:pPr>
        <w:spacing w:after="80"/>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835"/>
          </w:tcPr>
          <w:p>
            <w:r/>
            <w:r>
              <w:rPr>
                <w:rFonts w:ascii="游ゴシック" w:hAnsi="游ゴシック" w:eastAsia="游ゴシック"/>
                <w:b/>
                <w:sz w:val="17"/>
              </w:rPr>
              <w:t>事業</w:t>
            </w:r>
          </w:p>
        </w:tc>
        <w:tc>
          <w:tcPr>
            <w:tcW w:type="dxa" w:w="680"/>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R6実績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814"/>
          </w:tcPr>
          <w:p>
            <w:r/>
            <w:r>
              <w:rPr>
                <w:rFonts w:ascii="游ゴシック" w:hAnsi="游ゴシック" w:eastAsia="游ゴシック"/>
                <w:b/>
                <w:sz w:val="17"/>
              </w:rPr>
              <w:t>延ばし方</w:t>
            </w:r>
          </w:p>
        </w:tc>
      </w:tr>
      <w:t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【地域支援事業費】</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区分（決算科目）</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R9</w:t>
            </w:r>
          </w:p>
        </w:tc>
        <w:tc>
          <w:tcPr>
            <w:tcW w:type="dxa" w:w="737"/>
          </w:tcPr>
          <w:p>
            <w:r/>
            <w:r>
              <w:rPr>
                <w:rFonts w:ascii="游ゴシック" w:hAnsi="游ゴシック" w:eastAsia="游ゴシック"/>
                <w:b/>
                <w:sz w:val="17"/>
              </w:rPr>
              <w:t>R10</w:t>
            </w:r>
          </w:p>
        </w:tc>
        <w:tc>
          <w:tcPr>
            <w:tcW w:type="dxa" w:w="737"/>
          </w:tcPr>
          <w:p>
            <w:r/>
            <w:r>
              <w:rPr>
                <w:rFonts w:ascii="游ゴシック" w:hAnsi="游ゴシック" w:eastAsia="游ゴシック"/>
                <w:b/>
                <w:sz w:val="17"/>
              </w:rPr>
              <w:t>R11</w:t>
            </w:r>
          </w:p>
        </w:tc>
        <w:tc>
          <w:tcPr>
            <w:tcW w:type="dxa" w:w="850"/>
          </w:tcPr>
          <w:p>
            <w:r/>
            <w:r>
              <w:rPr>
                <w:rFonts w:ascii="游ゴシック" w:hAnsi="游ゴシック" w:eastAsia="游ゴシック"/>
                <w:b/>
                <w:sz w:val="17"/>
              </w:rPr>
              <w:t>第10期計</w:t>
            </w:r>
          </w:p>
        </w:tc>
        <w:tc>
          <w:tcPr>
            <w:tcW w:type="dxa" w:w="2041"/>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定員</w:t>
            </w:r>
          </w:p>
        </w:tc>
        <w:tc>
          <w:tcPr>
            <w:tcW w:type="dxa" w:w="986"/>
          </w:tcPr>
          <w:p>
            <w:r/>
            <w:r>
              <w:rPr>
                <w:rFonts w:ascii="游ゴシック" w:hAnsi="游ゴシック" w:eastAsia="游ゴシック"/>
                <w:b/>
                <w:sz w:val="17"/>
              </w:rPr>
              <w:t>R7実績</w:t>
            </w:r>
          </w:p>
        </w:tc>
        <w:tc>
          <w:tcPr>
            <w:tcW w:type="dxa" w:w="986"/>
          </w:tcPr>
          <w:p>
            <w:r/>
            <w:r>
              <w:rPr>
                <w:rFonts w:ascii="游ゴシック" w:hAnsi="游ゴシック" w:eastAsia="游ゴシック"/>
                <w:b/>
                <w:sz w:val="17"/>
              </w:rPr>
              <w:t>R11見込</w:t>
            </w:r>
          </w:p>
        </w:tc>
        <w:tc>
          <w:tcPr>
            <w:tcW w:type="dxa" w:w="986"/>
          </w:tcPr>
          <w:p>
            <w:r/>
            <w:r>
              <w:rPr>
                <w:rFonts w:ascii="游ゴシック" w:hAnsi="游ゴシック" w:eastAsia="游ゴシック"/>
                <w:b/>
                <w:sz w:val="17"/>
              </w:rPr>
              <w:t>R11／定員</w:t>
            </w:r>
          </w:p>
        </w:tc>
        <w:tc>
          <w:tcPr>
            <w:tcW w:type="dxa" w:w="3725"/>
          </w:tcPr>
          <w:p>
            <w:r/>
            <w:r>
              <w:rPr>
                <w:rFonts w:ascii="游ゴシック" w:hAnsi="游ゴシック" w:eastAsia="游ゴシック"/>
                <w:b/>
                <w:sz w:val="17"/>
              </w:rPr>
              <w:t>整備判断上の確認事項</w:t>
            </w:r>
          </w:p>
        </w:tc>
      </w:tr>
      <w:t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【区域内の入居状況と当広域連合の被保険者の受給者数】</w:t>
      </w:r>
    </w:p>
    <w:p>
      <w:pPr>
        <w:spacing w:after="80"/>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【供給の担い手の集中】</w:t>
      </w:r>
    </w:p>
    <w:p>
      <w:pPr>
        <w:spacing w:after="80"/>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【入所の経路からみた整備の考え方】</w:t>
      </w:r>
    </w:p>
    <w:p>
      <w:pPr>
        <w:spacing w:after="80"/>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3節により算定した給付費を入れた基本ケースは月額6,436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第9期の条例基準額6,400円に対し、暫定の算定値は36円高くなります。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【給付費の置き方によるちがい】</w:t>
      </w:r>
    </w:p>
    <w:p>
      <w:pPr>
        <w:spacing w:after="80"/>
      </w:pPr>
      <w:r>
        <w:rPr>
          <w:rFonts w:ascii="游ゴシック" w:hAnsi="游ゴシック" w:eastAsia="游ゴシック"/>
          <w:b w:val="0"/>
          <w:sz w:val="20"/>
        </w:rPr>
        <w:t>給付費の置き方について、次の3つを算定しました。上表は①によっています。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2041"/>
          </w:tcPr>
          <w:p>
            <w:r/>
            <w:r>
              <w:rPr>
                <w:rFonts w:ascii="游ゴシック" w:hAnsi="游ゴシック" w:eastAsia="游ゴシック"/>
                <w:b/>
                <w:sz w:val="17"/>
              </w:rPr>
              <w:t>総給付費（3か年計）</w:t>
            </w:r>
          </w:p>
        </w:tc>
        <w:tc>
          <w:tcPr>
            <w:tcW w:type="dxa" w:w="1474"/>
          </w:tcPr>
          <w:p>
            <w:r/>
            <w:r>
              <w:rPr>
                <w:rFonts w:ascii="游ゴシック" w:hAnsi="游ゴシック" w:eastAsia="游ゴシック"/>
                <w:b/>
                <w:sz w:val="17"/>
              </w:rPr>
              <w:t>算定上の月額</w:t>
            </w:r>
          </w:p>
        </w:tc>
      </w:tr>
      <w:t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721"/>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80"/>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160"/>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【第10期に施行される見直し】</w:t>
      </w:r>
    </w:p>
    <w:p>
      <w:pPr>
        <w:spacing w:after="80"/>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972"/>
          </w:tcPr>
          <w:p>
            <w:r/>
            <w:r>
              <w:rPr>
                <w:rFonts w:ascii="游ゴシック" w:hAnsi="游ゴシック" w:eastAsia="游ゴシック"/>
                <w:b/>
                <w:sz w:val="17"/>
              </w:rPr>
              <w:t>区分</w:t>
            </w:r>
          </w:p>
        </w:tc>
        <w:tc>
          <w:tcPr>
            <w:tcW w:type="dxa" w:w="5040"/>
          </w:tcPr>
          <w:p>
            <w:r/>
            <w:r>
              <w:rPr>
                <w:rFonts w:ascii="游ゴシック" w:hAnsi="游ゴシック" w:eastAsia="游ゴシック"/>
                <w:b/>
                <w:sz w:val="17"/>
              </w:rPr>
              <w:t>見直しの内容</w:t>
            </w:r>
          </w:p>
        </w:tc>
        <w:tc>
          <w:tcPr>
            <w:tcW w:type="dxa" w:w="2739"/>
          </w:tcPr>
          <w:p>
            <w:r/>
            <w:r>
              <w:rPr>
                <w:rFonts w:ascii="游ゴシック" w:hAnsi="游ゴシック" w:eastAsia="游ゴシック"/>
                <w:b/>
                <w:sz w:val="17"/>
              </w:rPr>
              <w:t>時期</w:t>
            </w:r>
          </w:p>
        </w:tc>
      </w:tr>
      <w:t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