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素案に手を入れるべきものは、優先「高」の3件で、いずれも障がい計画です（第2版で反映済み）。</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あわせて、福島県「福島県過疎地域持続的発展方針・計画について」（令和8年4月1日更新）が、本町を過疎法第2条第1項の過疎地域市町村に挙げていることを確かめた（25_国資料_審議会に保存）。</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第2版で第3部第3章に反映した。</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（制度の概要、本町が町全域で対象となる見込み、基準は主務省令で定まり県が町の意向を踏まえて指定すること、案の段階であること）。町に、県から意向を聞かれたときの考え方の検討を依頼する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第2版で第3部第2章の注に反映した。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。他素案への反映（№24）の【要確認：本町の過疎区分】も改めた</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（当方素案と他素案の両方）</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i w:val="0"/>
                <w:sz w:val="17"/>
              </w:rPr>
              <w:t>第2版で第2部第9章1と第3部第2章の算定方式に反映した。</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 xml:space="preserve"> Ａ型の新規利用の見込みは町に確かめる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障：特定地域障害福祉サービス 1・振興山村 1</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2・全部過疎 2</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13・Ａ型の新規利用の見込み 3</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2・行動援護 2</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11</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11・看取り 8</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3</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8・人材の供給制約 6・介護報酬改定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19・共生型 4・成年後見 15／障：65歳 17・共生型 7・成年後見 7</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素案での語の出現＝高：高齢者計画素案（第12版）、障：障がい計画素案（第2版）の本文と表での出現回数。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