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達成（▲0.1pt）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全国の31％の水準であり、平成29年度をピークに低下してい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介護サービス利用率74.3％（平成28年度82.2％から7.9ポイント低下）。全国平均の39.2％にとどまる</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必要サービス未充足率</w:t>
            </w:r>
          </w:p>
        </w:tc>
        <w:tc>
          <w:tcPr>
            <w:tcW w:type="dxa" w:w="2462"/>
          </w:tcPr>
          <w:p>
            <w:r/>
            <w:r>
              <w:rPr>
                <w:rFonts w:ascii="游ゴシック" w:hAnsi="游ゴシック" w:eastAsia="游ゴシック"/>
                <w:sz w:val="17"/>
              </w:rPr>
              <w:t>区域内で提供できないサービスが必要と判断された利用者の割合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在宅生活改善調査から新たに定義したものです。母集団は在宅生活の維持が難しい利用者であり、在宅利用者全体の未充足率ではありません</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