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業務内容別の進捗（令和8年8月20日現在）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78％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＋58pt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45％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全体（単純平均）</w:t>
            </w:r>
          </w:p>
        </w:tc>
        <w:tc>
          <w:tcPr>
            <w:tcW w:type="dxa" w:w="1020"/>
            <w:vAlign w:val="center"/>
          </w:tcPr>
          <w:p>
            <w:pPr>
              <w:spacing w:after="0"/>
              <w:jc w:val="center"/>
            </w:pPr>
            <w:r>
              <w:rPr>
                <w:rFonts w:ascii="游ゴシック" w:hAnsi="游ゴシック" w:eastAsia="游ゴシック"/>
                <w:b w:val="0"/>
                <w:sz w:val="19"/>
              </w:rPr>
              <w:t>60％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中間報告（7節11表）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