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自然体推計の人口基準9,322人とは時点・入力系列が異なる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給付水準の高さの要因</w:t>
      </w:r>
    </w:p>
    <w:p>
      <w:pPr>
        <w:spacing w:after="80"/>
      </w:pPr>
      <w:r>
        <w:rPr>
          <w:rFonts w:ascii="游ゴシック" w:hAnsi="游ゴシック" w:eastAsia="游ゴシック"/>
          <w:b w:val="0"/>
          <w:sz w:val="21"/>
        </w:rPr>
        <w:t>当広域連合の第1号被保険者1人当たり給付月額は26,885円で、全国及び北海道を上回っています。この差がどこから生じているかを、地域差指数により要因分解すると次のとおりです。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給付水準の高さの主因</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受給率をさらに在宅と施設・居住系に分けると、給付水準の高さが施設・居住系に集中していることがわかります。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地域差指数の受給率1.08を再現する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3.5倍。給付月額＋69.2％と整合する明確な拡大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事業所数も従事者数も減っていない。稼働率の低下が疑われる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く、区域外施設の利用の影響も含むため、自給率の算定により要因を特定し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361"/>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928"/>
          </w:tcPr>
          <w:p>
            <w:r/>
            <w:r>
              <w:rPr>
                <w:rFonts w:ascii="游ゴシック" w:hAnsi="游ゴシック" w:eastAsia="游ゴシック"/>
                <w:b/>
                <w:sz w:val="17"/>
              </w:rPr>
              <w:t>第1号被保険者</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361"/>
          </w:tcPr>
          <w:p>
            <w:r/>
            <w:r>
              <w:rPr>
                <w:rFonts w:ascii="游ゴシック" w:hAnsi="游ゴシック" w:eastAsia="游ゴシック"/>
                <w:sz w:val="17"/>
              </w:rPr>
              <w:t>R9</w:t>
            </w:r>
          </w:p>
        </w:tc>
        <w:tc>
          <w:tcPr>
            <w:tcW w:type="dxa" w:w="1701"/>
          </w:tcPr>
          <w:p>
            <w:r/>
            <w:r>
              <w:rPr>
                <w:rFonts w:ascii="游ゴシック" w:hAnsi="游ゴシック" w:eastAsia="游ゴシック"/>
                <w:sz w:val="17"/>
              </w:rPr>
              <w:t>26,649</w:t>
            </w:r>
          </w:p>
        </w:tc>
        <w:tc>
          <w:tcPr>
            <w:tcW w:type="dxa" w:w="1928"/>
          </w:tcPr>
          <w:p>
            <w:r/>
            <w:r>
              <w:rPr>
                <w:rFonts w:ascii="游ゴシック" w:hAnsi="游ゴシック" w:eastAsia="游ゴシック"/>
                <w:sz w:val="17"/>
              </w:rPr>
              <w:t>9,319</w:t>
            </w:r>
          </w:p>
        </w:tc>
        <w:tc>
          <w:tcPr>
            <w:tcW w:type="dxa" w:w="1587"/>
          </w:tcPr>
          <w:p>
            <w:r/>
            <w:r>
              <w:rPr>
                <w:rFonts w:ascii="游ゴシック" w:hAnsi="游ゴシック" w:eastAsia="游ゴシック"/>
                <w:sz w:val="17"/>
              </w:rPr>
              <w:t>2,212</w:t>
            </w:r>
          </w:p>
        </w:tc>
        <w:tc>
          <w:tcPr>
            <w:tcW w:type="dxa" w:w="1587"/>
          </w:tcPr>
          <w:p>
            <w:r/>
            <w:r>
              <w:rPr>
                <w:rFonts w:ascii="游ゴシック" w:hAnsi="游ゴシック" w:eastAsia="游ゴシック"/>
                <w:sz w:val="17"/>
              </w:rPr>
              <w:t>1,960</w:t>
            </w:r>
          </w:p>
        </w:tc>
        <w:tc>
          <w:tcPr>
            <w:tcW w:type="dxa" w:w="1928"/>
          </w:tcPr>
          <w:p>
            <w:r/>
            <w:r>
              <w:rPr>
                <w:rFonts w:ascii="游ゴシック" w:hAnsi="游ゴシック" w:eastAsia="游ゴシック"/>
                <w:sz w:val="17"/>
              </w:rPr>
              <w:t>30.57億円</w:t>
            </w:r>
          </w:p>
        </w:tc>
      </w:tr>
      <w:tr>
        <w:tc>
          <w:tcPr>
            <w:tcW w:type="dxa" w:w="1361"/>
          </w:tcPr>
          <w:p>
            <w:r/>
            <w:r>
              <w:rPr>
                <w:rFonts w:ascii="游ゴシック" w:hAnsi="游ゴシック" w:eastAsia="游ゴシック"/>
                <w:sz w:val="17"/>
              </w:rPr>
              <w:t>R11</w:t>
            </w:r>
          </w:p>
        </w:tc>
        <w:tc>
          <w:tcPr>
            <w:tcW w:type="dxa" w:w="1701"/>
          </w:tcPr>
          <w:p>
            <w:r/>
            <w:r>
              <w:rPr>
                <w:rFonts w:ascii="游ゴシック" w:hAnsi="游ゴシック" w:eastAsia="游ゴシック"/>
                <w:sz w:val="17"/>
              </w:rPr>
              <w:t>26,195</w:t>
            </w:r>
          </w:p>
        </w:tc>
        <w:tc>
          <w:tcPr>
            <w:tcW w:type="dxa" w:w="1928"/>
          </w:tcPr>
          <w:p>
            <w:r/>
            <w:r>
              <w:rPr>
                <w:rFonts w:ascii="游ゴシック" w:hAnsi="游ゴシック" w:eastAsia="游ゴシック"/>
                <w:sz w:val="17"/>
              </w:rPr>
              <w:t>9,311</w:t>
            </w:r>
          </w:p>
        </w:tc>
        <w:tc>
          <w:tcPr>
            <w:tcW w:type="dxa" w:w="1587"/>
          </w:tcPr>
          <w:p>
            <w:r/>
            <w:r>
              <w:rPr>
                <w:rFonts w:ascii="游ゴシック" w:hAnsi="游ゴシック" w:eastAsia="游ゴシック"/>
                <w:sz w:val="17"/>
              </w:rPr>
              <w:t>2,256</w:t>
            </w:r>
          </w:p>
        </w:tc>
        <w:tc>
          <w:tcPr>
            <w:tcW w:type="dxa" w:w="1587"/>
          </w:tcPr>
          <w:p>
            <w:r/>
            <w:r>
              <w:rPr>
                <w:rFonts w:ascii="游ゴシック" w:hAnsi="游ゴシック" w:eastAsia="游ゴシック"/>
                <w:sz w:val="17"/>
              </w:rPr>
              <w:t>1,993</w:t>
            </w:r>
          </w:p>
        </w:tc>
        <w:tc>
          <w:tcPr>
            <w:tcW w:type="dxa" w:w="1928"/>
          </w:tcPr>
          <w:p>
            <w:r/>
            <w:r>
              <w:rPr>
                <w:rFonts w:ascii="游ゴシック" w:hAnsi="游ゴシック" w:eastAsia="游ゴシック"/>
                <w:sz w:val="17"/>
              </w:rPr>
              <w:t>31.21億円</w:t>
            </w:r>
          </w:p>
        </w:tc>
      </w:tr>
      <w:tr>
        <w:tc>
          <w:tcPr>
            <w:tcW w:type="dxa" w:w="1361"/>
          </w:tcPr>
          <w:p>
            <w:r/>
            <w:r>
              <w:rPr>
                <w:rFonts w:ascii="游ゴシック" w:hAnsi="游ゴシック" w:eastAsia="游ゴシック"/>
                <w:sz w:val="17"/>
              </w:rPr>
              <w:t>R17</w:t>
            </w:r>
          </w:p>
        </w:tc>
        <w:tc>
          <w:tcPr>
            <w:tcW w:type="dxa" w:w="1701"/>
          </w:tcPr>
          <w:p>
            <w:r/>
            <w:r>
              <w:rPr>
                <w:rFonts w:ascii="游ゴシック" w:hAnsi="游ゴシック" w:eastAsia="游ゴシック"/>
                <w:sz w:val="17"/>
              </w:rPr>
              <w:t>24,778</w:t>
            </w:r>
          </w:p>
        </w:tc>
        <w:tc>
          <w:tcPr>
            <w:tcW w:type="dxa" w:w="1928"/>
          </w:tcPr>
          <w:p>
            <w:r/>
            <w:r>
              <w:rPr>
                <w:rFonts w:ascii="游ゴシック" w:hAnsi="游ゴシック" w:eastAsia="游ゴシック"/>
                <w:sz w:val="17"/>
              </w:rPr>
              <w:t>9,378</w:t>
            </w:r>
          </w:p>
        </w:tc>
        <w:tc>
          <w:tcPr>
            <w:tcW w:type="dxa" w:w="1587"/>
          </w:tcPr>
          <w:p>
            <w:r/>
            <w:r>
              <w:rPr>
                <w:rFonts w:ascii="游ゴシック" w:hAnsi="游ゴシック" w:eastAsia="游ゴシック"/>
                <w:sz w:val="17"/>
              </w:rPr>
              <w:t>2,673</w:t>
            </w:r>
          </w:p>
        </w:tc>
        <w:tc>
          <w:tcPr>
            <w:tcW w:type="dxa" w:w="1587"/>
          </w:tcPr>
          <w:p>
            <w:r/>
            <w:r>
              <w:rPr>
                <w:rFonts w:ascii="游ゴシック" w:hAnsi="游ゴシック" w:eastAsia="游ゴシック"/>
                <w:sz w:val="17"/>
              </w:rPr>
              <w:t>2,125</w:t>
            </w:r>
          </w:p>
        </w:tc>
        <w:tc>
          <w:tcPr>
            <w:tcW w:type="dxa" w:w="1928"/>
          </w:tcPr>
          <w:p>
            <w:r/>
            <w:r>
              <w:rPr>
                <w:rFonts w:ascii="游ゴシック" w:hAnsi="游ゴシック" w:eastAsia="游ゴシック"/>
                <w:sz w:val="17"/>
              </w:rPr>
              <w:t>33.42億円</w:t>
            </w:r>
          </w:p>
        </w:tc>
      </w:tr>
      <w:tr>
        <w:tc>
          <w:tcPr>
            <w:tcW w:type="dxa" w:w="1361"/>
          </w:tcPr>
          <w:p>
            <w:r/>
            <w:r>
              <w:rPr>
                <w:rFonts w:ascii="游ゴシック" w:hAnsi="游ゴシック" w:eastAsia="游ゴシック"/>
                <w:sz w:val="17"/>
              </w:rPr>
              <w:t>R22</w:t>
            </w:r>
          </w:p>
        </w:tc>
        <w:tc>
          <w:tcPr>
            <w:tcW w:type="dxa" w:w="1701"/>
          </w:tcPr>
          <w:p>
            <w:r/>
            <w:r>
              <w:rPr>
                <w:rFonts w:ascii="游ゴシック" w:hAnsi="游ゴシック" w:eastAsia="游ゴシック"/>
                <w:sz w:val="17"/>
              </w:rPr>
              <w:t>23,582</w:t>
            </w:r>
          </w:p>
        </w:tc>
        <w:tc>
          <w:tcPr>
            <w:tcW w:type="dxa" w:w="1928"/>
          </w:tcPr>
          <w:p>
            <w:r/>
            <w:r>
              <w:rPr>
                <w:rFonts w:ascii="游ゴシック" w:hAnsi="游ゴシック" w:eastAsia="游ゴシック"/>
                <w:sz w:val="17"/>
              </w:rPr>
              <w:t>9,633</w:t>
            </w:r>
          </w:p>
        </w:tc>
        <w:tc>
          <w:tcPr>
            <w:tcW w:type="dxa" w:w="1587"/>
          </w:tcPr>
          <w:p>
            <w:r/>
            <w:r>
              <w:rPr>
                <w:rFonts w:ascii="游ゴシック" w:hAnsi="游ゴシック" w:eastAsia="游ゴシック"/>
                <w:sz w:val="17"/>
              </w:rPr>
              <w:t>2,810</w:t>
            </w:r>
          </w:p>
        </w:tc>
        <w:tc>
          <w:tcPr>
            <w:tcW w:type="dxa" w:w="1587"/>
          </w:tcPr>
          <w:p>
            <w:r/>
            <w:r>
              <w:rPr>
                <w:rFonts w:ascii="游ゴシック" w:hAnsi="游ゴシック" w:eastAsia="游ゴシック"/>
                <w:sz w:val="17"/>
              </w:rPr>
              <w:t>2,193</w:t>
            </w:r>
          </w:p>
        </w:tc>
        <w:tc>
          <w:tcPr>
            <w:tcW w:type="dxa" w:w="1928"/>
          </w:tcPr>
          <w:p>
            <w:r/>
            <w:r>
              <w:rPr>
                <w:rFonts w:ascii="游ゴシック" w:hAnsi="游ゴシック" w:eastAsia="游ゴシック"/>
                <w:sz w:val="17"/>
              </w:rPr>
              <w:t>34.93億円</w:t>
            </w:r>
          </w:p>
        </w:tc>
      </w:tr>
      <w:tr>
        <w:tc>
          <w:tcPr>
            <w:tcW w:type="dxa" w:w="1361"/>
          </w:tcPr>
          <w:p>
            <w:r/>
            <w:r>
              <w:rPr>
                <w:rFonts w:ascii="游ゴシック" w:hAnsi="游ゴシック" w:eastAsia="游ゴシック"/>
                <w:sz w:val="17"/>
              </w:rPr>
              <w:t>R32</w:t>
            </w:r>
          </w:p>
        </w:tc>
        <w:tc>
          <w:tcPr>
            <w:tcW w:type="dxa" w:w="1701"/>
          </w:tcPr>
          <w:p>
            <w:r/>
            <w:r>
              <w:rPr>
                <w:rFonts w:ascii="游ゴシック" w:hAnsi="游ゴシック" w:eastAsia="游ゴシック"/>
                <w:sz w:val="17"/>
              </w:rPr>
              <w:t>21,058</w:t>
            </w:r>
          </w:p>
        </w:tc>
        <w:tc>
          <w:tcPr>
            <w:tcW w:type="dxa" w:w="1928"/>
          </w:tcPr>
          <w:p>
            <w:r/>
            <w:r>
              <w:rPr>
                <w:rFonts w:ascii="游ゴシック" w:hAnsi="游ゴシック" w:eastAsia="游ゴシック"/>
                <w:sz w:val="17"/>
              </w:rPr>
              <w:t>9,239</w:t>
            </w:r>
          </w:p>
        </w:tc>
        <w:tc>
          <w:tcPr>
            <w:tcW w:type="dxa" w:w="1587"/>
          </w:tcPr>
          <w:p>
            <w:r/>
            <w:r>
              <w:rPr>
                <w:rFonts w:ascii="游ゴシック" w:hAnsi="游ゴシック" w:eastAsia="游ゴシック"/>
                <w:sz w:val="17"/>
              </w:rPr>
              <w:t>2,534</w:t>
            </w:r>
          </w:p>
        </w:tc>
        <w:tc>
          <w:tcPr>
            <w:tcW w:type="dxa" w:w="1587"/>
          </w:tcPr>
          <w:p>
            <w:r/>
            <w:r>
              <w:rPr>
                <w:rFonts w:ascii="游ゴシック" w:hAnsi="游ゴシック" w:eastAsia="游ゴシック"/>
                <w:sz w:val="17"/>
              </w:rPr>
              <w:t>2,107</w:t>
            </w:r>
          </w:p>
        </w:tc>
        <w:tc>
          <w:tcPr>
            <w:tcW w:type="dxa" w:w="1928"/>
          </w:tcPr>
          <w:p>
            <w:r/>
            <w:r>
              <w:rPr>
                <w:rFonts w:ascii="游ゴシック" w:hAnsi="游ゴシック" w:eastAsia="游ゴシック"/>
                <w:sz w:val="17"/>
              </w:rPr>
              <w:t>33.15億円</w:t>
            </w:r>
          </w:p>
        </w:tc>
      </w:tr>
    </w:tbl>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北海道の評価指標②と整合する強み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北海道の評価指標①と整合する強み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3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介護サービス自給率の把握：国民健康保険団体連合会の給付実績情報と指定事業所台帳の突合により、区域内の事業所による給付の割合を算定</w:t>
            </w:r>
          </w:p>
        </w:tc>
        <w:tc>
          <w:tcPr>
            <w:tcW w:type="dxa" w:w="3061"/>
          </w:tcPr>
          <w:p>
            <w:r/>
            <w:r>
              <w:rPr>
                <w:rFonts w:ascii="游ゴシック" w:hAnsi="游ゴシック" w:eastAsia="游ゴシック"/>
                <w:sz w:val="17"/>
              </w:rPr>
              <w:t>サービス区分別の自給率の算定（R9年度から年1回）</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7期は累計で月額159円、第8期は同66円の剰余であり、第9期は第7期に近い水準となりま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最新の人口実績、国立社会保障・人口問題研究所推計及び地域包括ケア『見える化』システム等を用い、3町別・年齢階級別人口、被保険者、認定者及び認定率を推計します。第10期の各年度に加え、令和17（2035）年度及び令和22（2040）年度を基準時点として示し、85歳以上人口と認定者数のピーク時期を確認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R8基準値</w:t>
            </w:r>
          </w:p>
        </w:tc>
        <w:tc>
          <w:tcPr>
            <w:tcW w:type="dxa" w:w="1361"/>
          </w:tcPr>
          <w:p>
            <w:r/>
            <w:r>
              <w:rPr>
                <w:rFonts w:ascii="游ゴシック" w:hAnsi="游ゴシック" w:eastAsia="游ゴシック"/>
                <w:b/>
                <w:sz w:val="17"/>
              </w:rPr>
              <w:t>R9</w:t>
            </w:r>
          </w:p>
        </w:tc>
        <w:tc>
          <w:tcPr>
            <w:tcW w:type="dxa" w:w="1361"/>
          </w:tcPr>
          <w:p>
            <w:r/>
            <w:r>
              <w:rPr>
                <w:rFonts w:ascii="游ゴシック" w:hAnsi="游ゴシック" w:eastAsia="游ゴシック"/>
                <w:b/>
                <w:sz w:val="17"/>
              </w:rPr>
              <w:t>R10</w:t>
            </w:r>
          </w:p>
        </w:tc>
        <w:tc>
          <w:tcPr>
            <w:tcW w:type="dxa" w:w="1361"/>
          </w:tcPr>
          <w:p>
            <w:r/>
            <w:r>
              <w:rPr>
                <w:rFonts w:ascii="游ゴシック" w:hAnsi="游ゴシック" w:eastAsia="游ゴシック"/>
                <w:b/>
                <w:sz w:val="17"/>
              </w:rPr>
              <w:t>R11</w:t>
            </w:r>
          </w:p>
        </w:tc>
        <w:tc>
          <w:tcPr>
            <w:tcW w:type="dxa" w:w="1361"/>
          </w:tcPr>
          <w:p>
            <w:r/>
            <w:r>
              <w:rPr>
                <w:rFonts w:ascii="游ゴシック" w:hAnsi="游ゴシック" w:eastAsia="游ゴシック"/>
                <w:b/>
                <w:sz w:val="17"/>
              </w:rPr>
              <w:t>R17</w:t>
            </w:r>
          </w:p>
        </w:tc>
        <w:tc>
          <w:tcPr>
            <w:tcW w:type="dxa" w:w="1361"/>
          </w:tcPr>
          <w:p>
            <w:r/>
            <w:r>
              <w:rPr>
                <w:rFonts w:ascii="游ゴシック" w:hAnsi="游ゴシック" w:eastAsia="游ゴシック"/>
                <w:b/>
                <w:sz w:val="17"/>
              </w:rPr>
              <w:t>R22</w:t>
            </w:r>
          </w:p>
        </w:tc>
      </w:tr>
      <w:tr>
        <w:tc>
          <w:tcPr>
            <w:tcW w:type="dxa" w:w="1928"/>
          </w:tcPr>
          <w:p>
            <w:r/>
            <w:r>
              <w:rPr>
                <w:rFonts w:ascii="游ゴシック" w:hAnsi="游ゴシック" w:eastAsia="游ゴシック"/>
                <w:sz w:val="17"/>
              </w:rPr>
              <w:t>総人口</w:t>
            </w:r>
          </w:p>
        </w:tc>
        <w:tc>
          <w:tcPr>
            <w:tcW w:type="dxa" w:w="1474"/>
          </w:tcPr>
          <w:p>
            <w:r/>
            <w:r>
              <w:rPr>
                <w:rFonts w:ascii="游ゴシック" w:hAnsi="游ゴシック" w:eastAsia="游ゴシック"/>
                <w:sz w:val="17"/>
              </w:rPr>
              <w:t>26,876</w:t>
            </w:r>
          </w:p>
        </w:tc>
        <w:tc>
          <w:tcPr>
            <w:tcW w:type="dxa" w:w="1361"/>
          </w:tcPr>
          <w:p>
            <w:r/>
            <w:r>
              <w:rPr>
                <w:rFonts w:ascii="游ゴシック" w:hAnsi="游ゴシック" w:eastAsia="游ゴシック"/>
                <w:sz w:val="17"/>
              </w:rPr>
              <w:t>26,649</w:t>
            </w:r>
          </w:p>
        </w:tc>
        <w:tc>
          <w:tcPr>
            <w:tcW w:type="dxa" w:w="1361"/>
          </w:tcPr>
          <w:p>
            <w:r/>
            <w:r>
              <w:rPr>
                <w:rFonts w:ascii="游ゴシック" w:hAnsi="游ゴシック" w:eastAsia="游ゴシック"/>
                <w:sz w:val="17"/>
              </w:rPr>
              <w:t>26,422</w:t>
            </w:r>
          </w:p>
        </w:tc>
        <w:tc>
          <w:tcPr>
            <w:tcW w:type="dxa" w:w="1361"/>
          </w:tcPr>
          <w:p>
            <w:r/>
            <w:r>
              <w:rPr>
                <w:rFonts w:ascii="游ゴシック" w:hAnsi="游ゴシック" w:eastAsia="游ゴシック"/>
                <w:sz w:val="17"/>
              </w:rPr>
              <w:t>26,195</w:t>
            </w:r>
          </w:p>
        </w:tc>
        <w:tc>
          <w:tcPr>
            <w:tcW w:type="dxa" w:w="1361"/>
          </w:tcPr>
          <w:p>
            <w:r/>
            <w:r>
              <w:rPr>
                <w:rFonts w:ascii="游ゴシック" w:hAnsi="游ゴシック" w:eastAsia="游ゴシック"/>
                <w:sz w:val="17"/>
              </w:rPr>
              <w:t>24,778</w:t>
            </w:r>
          </w:p>
        </w:tc>
        <w:tc>
          <w:tcPr>
            <w:tcW w:type="dxa" w:w="1361"/>
          </w:tcPr>
          <w:p>
            <w:r/>
            <w:r>
              <w:rPr>
                <w:rFonts w:ascii="游ゴシック" w:hAnsi="游ゴシック" w:eastAsia="游ゴシック"/>
                <w:sz w:val="17"/>
              </w:rPr>
              <w:t>23,582</w:t>
            </w:r>
          </w:p>
        </w:tc>
      </w:tr>
      <w:tr>
        <w:tc>
          <w:tcPr>
            <w:tcW w:type="dxa" w:w="1928"/>
          </w:tcPr>
          <w:p>
            <w:r/>
            <w:r>
              <w:rPr>
                <w:rFonts w:ascii="游ゴシック" w:hAnsi="游ゴシック" w:eastAsia="游ゴシック"/>
                <w:sz w:val="17"/>
              </w:rPr>
              <w:t>65歳以上</w:t>
            </w:r>
          </w:p>
        </w:tc>
        <w:tc>
          <w:tcPr>
            <w:tcW w:type="dxa" w:w="1474"/>
          </w:tcPr>
          <w:p>
            <w:r/>
            <w:r>
              <w:rPr>
                <w:rFonts w:ascii="游ゴシック" w:hAnsi="游ゴシック" w:eastAsia="游ゴシック"/>
                <w:sz w:val="17"/>
              </w:rPr>
              <w:t>9,322</w:t>
            </w:r>
          </w:p>
        </w:tc>
        <w:tc>
          <w:tcPr>
            <w:tcW w:type="dxa" w:w="1361"/>
          </w:tcPr>
          <w:p>
            <w:r/>
            <w:r>
              <w:rPr>
                <w:rFonts w:ascii="游ゴシック" w:hAnsi="游ゴシック" w:eastAsia="游ゴシック"/>
                <w:sz w:val="17"/>
              </w:rPr>
              <w:t>9,319</w:t>
            </w:r>
          </w:p>
        </w:tc>
        <w:tc>
          <w:tcPr>
            <w:tcW w:type="dxa" w:w="1361"/>
          </w:tcPr>
          <w:p>
            <w:r/>
            <w:r>
              <w:rPr>
                <w:rFonts w:ascii="游ゴシック" w:hAnsi="游ゴシック" w:eastAsia="游ゴシック"/>
                <w:sz w:val="17"/>
              </w:rPr>
              <w:t>9,314</w:t>
            </w:r>
          </w:p>
        </w:tc>
        <w:tc>
          <w:tcPr>
            <w:tcW w:type="dxa" w:w="1361"/>
          </w:tcPr>
          <w:p>
            <w:r/>
            <w:r>
              <w:rPr>
                <w:rFonts w:ascii="游ゴシック" w:hAnsi="游ゴシック" w:eastAsia="游ゴシック"/>
                <w:sz w:val="17"/>
              </w:rPr>
              <w:t>9,311</w:t>
            </w:r>
          </w:p>
        </w:tc>
        <w:tc>
          <w:tcPr>
            <w:tcW w:type="dxa" w:w="1361"/>
          </w:tcPr>
          <w:p>
            <w:r/>
            <w:r>
              <w:rPr>
                <w:rFonts w:ascii="游ゴシック" w:hAnsi="游ゴシック" w:eastAsia="游ゴシック"/>
                <w:sz w:val="17"/>
              </w:rPr>
              <w:t>9,378</w:t>
            </w:r>
          </w:p>
        </w:tc>
        <w:tc>
          <w:tcPr>
            <w:tcW w:type="dxa" w:w="1361"/>
          </w:tcPr>
          <w:p>
            <w:r/>
            <w:r>
              <w:rPr>
                <w:rFonts w:ascii="游ゴシック" w:hAnsi="游ゴシック" w:eastAsia="游ゴシック"/>
                <w:sz w:val="17"/>
              </w:rPr>
              <w:t>9,633</w:t>
            </w:r>
          </w:p>
        </w:tc>
      </w:tr>
      <w:tr>
        <w:tc>
          <w:tcPr>
            <w:tcW w:type="dxa" w:w="1928"/>
          </w:tcPr>
          <w:p>
            <w:r/>
            <w:r>
              <w:rPr>
                <w:rFonts w:ascii="游ゴシック" w:hAnsi="游ゴシック" w:eastAsia="游ゴシック"/>
                <w:sz w:val="17"/>
              </w:rPr>
              <w:t>85歳以上</w:t>
            </w:r>
          </w:p>
        </w:tc>
        <w:tc>
          <w:tcPr>
            <w:tcW w:type="dxa" w:w="1474"/>
          </w:tcPr>
          <w:p>
            <w:r/>
            <w:r>
              <w:rPr>
                <w:rFonts w:ascii="游ゴシック" w:hAnsi="游ゴシック" w:eastAsia="游ゴシック"/>
                <w:sz w:val="17"/>
              </w:rPr>
              <w:t>2,190</w:t>
            </w:r>
          </w:p>
        </w:tc>
        <w:tc>
          <w:tcPr>
            <w:tcW w:type="dxa" w:w="1361"/>
          </w:tcPr>
          <w:p>
            <w:r/>
            <w:r>
              <w:rPr>
                <w:rFonts w:ascii="游ゴシック" w:hAnsi="游ゴシック" w:eastAsia="游ゴシック"/>
                <w:sz w:val="17"/>
              </w:rPr>
              <w:t>2,212</w:t>
            </w:r>
          </w:p>
        </w:tc>
        <w:tc>
          <w:tcPr>
            <w:tcW w:type="dxa" w:w="1361"/>
          </w:tcPr>
          <w:p>
            <w:r/>
            <w:r>
              <w:rPr>
                <w:rFonts w:ascii="游ゴシック" w:hAnsi="游ゴシック" w:eastAsia="游ゴシック"/>
                <w:sz w:val="17"/>
              </w:rPr>
              <w:t>2,234</w:t>
            </w:r>
          </w:p>
        </w:tc>
        <w:tc>
          <w:tcPr>
            <w:tcW w:type="dxa" w:w="1361"/>
          </w:tcPr>
          <w:p>
            <w:r/>
            <w:r>
              <w:rPr>
                <w:rFonts w:ascii="游ゴシック" w:hAnsi="游ゴシック" w:eastAsia="游ゴシック"/>
                <w:sz w:val="17"/>
              </w:rPr>
              <w:t>2,256</w:t>
            </w:r>
          </w:p>
        </w:tc>
        <w:tc>
          <w:tcPr>
            <w:tcW w:type="dxa" w:w="1361"/>
          </w:tcPr>
          <w:p>
            <w:r/>
            <w:r>
              <w:rPr>
                <w:rFonts w:ascii="游ゴシック" w:hAnsi="游ゴシック" w:eastAsia="游ゴシック"/>
                <w:sz w:val="17"/>
              </w:rPr>
              <w:t>2,673</w:t>
            </w:r>
          </w:p>
        </w:tc>
        <w:tc>
          <w:tcPr>
            <w:tcW w:type="dxa" w:w="1361"/>
          </w:tcPr>
          <w:p>
            <w:r/>
            <w:r>
              <w:rPr>
                <w:rFonts w:ascii="游ゴシック" w:hAnsi="游ゴシック" w:eastAsia="游ゴシック"/>
                <w:sz w:val="17"/>
              </w:rPr>
              <w:t>2,810</w:t>
            </w:r>
          </w:p>
        </w:tc>
      </w:tr>
      <w:tr>
        <w:tc>
          <w:tcPr>
            <w:tcW w:type="dxa" w:w="1928"/>
          </w:tcPr>
          <w:p>
            <w:r/>
            <w:r>
              <w:rPr>
                <w:rFonts w:ascii="游ゴシック" w:hAnsi="游ゴシック" w:eastAsia="游ゴシック"/>
                <w:sz w:val="17"/>
              </w:rPr>
              <w:t>認定者数</w:t>
            </w:r>
          </w:p>
        </w:tc>
        <w:tc>
          <w:tcPr>
            <w:tcW w:type="dxa" w:w="1474"/>
          </w:tcPr>
          <w:p>
            <w:r/>
            <w:r>
              <w:rPr>
                <w:rFonts w:ascii="游ゴシック" w:hAnsi="游ゴシック" w:eastAsia="游ゴシック"/>
                <w:sz w:val="17"/>
              </w:rPr>
              <w:t>1,984※</w:t>
            </w:r>
          </w:p>
        </w:tc>
        <w:tc>
          <w:tcPr>
            <w:tcW w:type="dxa" w:w="1361"/>
          </w:tcPr>
          <w:p>
            <w:r/>
            <w:r>
              <w:rPr>
                <w:rFonts w:ascii="游ゴシック" w:hAnsi="游ゴシック" w:eastAsia="游ゴシック"/>
                <w:sz w:val="17"/>
              </w:rPr>
              <w:t>1,960</w:t>
            </w:r>
          </w:p>
        </w:tc>
        <w:tc>
          <w:tcPr>
            <w:tcW w:type="dxa" w:w="1361"/>
          </w:tcPr>
          <w:p>
            <w:r/>
            <w:r>
              <w:rPr>
                <w:rFonts w:ascii="游ゴシック" w:hAnsi="游ゴシック" w:eastAsia="游ゴシック"/>
                <w:sz w:val="17"/>
              </w:rPr>
              <w:t>1,978</w:t>
            </w:r>
          </w:p>
        </w:tc>
        <w:tc>
          <w:tcPr>
            <w:tcW w:type="dxa" w:w="1361"/>
          </w:tcPr>
          <w:p>
            <w:r/>
            <w:r>
              <w:rPr>
                <w:rFonts w:ascii="游ゴシック" w:hAnsi="游ゴシック" w:eastAsia="游ゴシック"/>
                <w:sz w:val="17"/>
              </w:rPr>
              <w:t>1,993</w:t>
            </w:r>
          </w:p>
        </w:tc>
        <w:tc>
          <w:tcPr>
            <w:tcW w:type="dxa" w:w="1361"/>
          </w:tcPr>
          <w:p>
            <w:r/>
            <w:r>
              <w:rPr>
                <w:rFonts w:ascii="游ゴシック" w:hAnsi="游ゴシック" w:eastAsia="游ゴシック"/>
                <w:sz w:val="17"/>
              </w:rPr>
              <w:t>2,125</w:t>
            </w:r>
          </w:p>
        </w:tc>
        <w:tc>
          <w:tcPr>
            <w:tcW w:type="dxa" w:w="1361"/>
          </w:tcPr>
          <w:p>
            <w:r/>
            <w:r>
              <w:rPr>
                <w:rFonts w:ascii="游ゴシック" w:hAnsi="游ゴシック" w:eastAsia="游ゴシック"/>
                <w:sz w:val="17"/>
              </w:rPr>
              <w:t>2,193</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【直近実績と自然体推計の起点差】</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項目</w:t>
            </w:r>
          </w:p>
        </w:tc>
        <w:tc>
          <w:tcPr>
            <w:tcW w:type="dxa" w:w="1814"/>
          </w:tcPr>
          <w:p>
            <w:r/>
            <w:r>
              <w:rPr>
                <w:rFonts w:ascii="游ゴシック" w:hAnsi="游ゴシック" w:eastAsia="游ゴシック"/>
                <w:b/>
                <w:sz w:val="17"/>
              </w:rPr>
              <w:t>見える化直近実績</w:t>
            </w:r>
          </w:p>
        </w:tc>
        <w:tc>
          <w:tcPr>
            <w:tcW w:type="dxa" w:w="1814"/>
          </w:tcPr>
          <w:p>
            <w:r/>
            <w:r>
              <w:rPr>
                <w:rFonts w:ascii="游ゴシック" w:hAnsi="游ゴシック" w:eastAsia="游ゴシック"/>
                <w:b/>
                <w:sz w:val="17"/>
              </w:rPr>
              <w:t>自然体推計R8起点</w:t>
            </w:r>
          </w:p>
        </w:tc>
        <w:tc>
          <w:tcPr>
            <w:tcW w:type="dxa" w:w="1814"/>
          </w:tcPr>
          <w:p>
            <w:r/>
            <w:r>
              <w:rPr>
                <w:rFonts w:ascii="游ゴシック" w:hAnsi="游ゴシック" w:eastAsia="游ゴシック"/>
                <w:b/>
                <w:sz w:val="17"/>
              </w:rPr>
              <w:t>差（推計－実績）</w:t>
            </w:r>
          </w:p>
        </w:tc>
        <w:tc>
          <w:tcPr>
            <w:tcW w:type="dxa" w:w="2835"/>
          </w:tcPr>
          <w:p>
            <w:r/>
            <w:r>
              <w:rPr>
                <w:rFonts w:ascii="游ゴシック" w:hAnsi="游ゴシック" w:eastAsia="游ゴシック"/>
                <w:b/>
                <w:sz w:val="17"/>
              </w:rPr>
              <w:t>第10期での処理</w:t>
            </w:r>
          </w:p>
        </w:tc>
      </w:tr>
      <w:tr>
        <w:tc>
          <w:tcPr>
            <w:tcW w:type="dxa" w:w="2041"/>
          </w:tcPr>
          <w:p>
            <w:r/>
            <w:r>
              <w:rPr>
                <w:rFonts w:ascii="游ゴシック" w:hAnsi="游ゴシック" w:eastAsia="游ゴシック"/>
                <w:sz w:val="17"/>
              </w:rPr>
              <w:t>第1号被保険者数</w:t>
            </w:r>
          </w:p>
        </w:tc>
        <w:tc>
          <w:tcPr>
            <w:tcW w:type="dxa" w:w="1814"/>
          </w:tcPr>
          <w:p>
            <w:r/>
            <w:r>
              <w:rPr>
                <w:rFonts w:ascii="游ゴシック" w:hAnsi="游ゴシック" w:eastAsia="游ゴシック"/>
                <w:sz w:val="17"/>
              </w:rPr>
              <w:t>9,090人</w:t>
            </w:r>
          </w:p>
        </w:tc>
        <w:tc>
          <w:tcPr>
            <w:tcW w:type="dxa" w:w="1814"/>
          </w:tcPr>
          <w:p>
            <w:r/>
            <w:r>
              <w:rPr>
                <w:rFonts w:ascii="游ゴシック" w:hAnsi="游ゴシック" w:eastAsia="游ゴシック"/>
                <w:sz w:val="17"/>
              </w:rPr>
              <w:t>9,322人</w:t>
            </w:r>
          </w:p>
        </w:tc>
        <w:tc>
          <w:tcPr>
            <w:tcW w:type="dxa" w:w="1814"/>
          </w:tcPr>
          <w:p>
            <w:r/>
            <w:r>
              <w:rPr>
                <w:rFonts w:ascii="游ゴシック" w:hAnsi="游ゴシック" w:eastAsia="游ゴシック"/>
                <w:sz w:val="17"/>
              </w:rPr>
              <w:t>＋232人（＋2.6％）</w:t>
            </w:r>
          </w:p>
        </w:tc>
        <w:tc>
          <w:tcPr>
            <w:tcW w:type="dxa" w:w="2835"/>
          </w:tcPr>
          <w:p>
            <w:r/>
            <w:r>
              <w:rPr>
                <w:rFonts w:ascii="游ゴシック" w:hAnsi="游ゴシック" w:eastAsia="游ゴシック"/>
                <w:sz w:val="17"/>
              </w:rPr>
              <w:t>住民基本台帳・被保険者台帳の確定値に再基準化</w:t>
            </w:r>
          </w:p>
        </w:tc>
      </w:tr>
      <w:tr>
        <w:tc>
          <w:tcPr>
            <w:tcW w:type="dxa" w:w="2041"/>
          </w:tcPr>
          <w:p>
            <w:r/>
            <w:r>
              <w:rPr>
                <w:rFonts w:ascii="游ゴシック" w:hAnsi="游ゴシック" w:eastAsia="游ゴシック"/>
                <w:sz w:val="17"/>
              </w:rPr>
              <w:t>第1号認定者数</w:t>
            </w:r>
          </w:p>
        </w:tc>
        <w:tc>
          <w:tcPr>
            <w:tcW w:type="dxa" w:w="1814"/>
          </w:tcPr>
          <w:p>
            <w:r/>
            <w:r>
              <w:rPr>
                <w:rFonts w:ascii="游ゴシック" w:hAnsi="游ゴシック" w:eastAsia="游ゴシック"/>
                <w:sz w:val="17"/>
              </w:rPr>
              <w:t>1,984人</w:t>
            </w:r>
          </w:p>
        </w:tc>
        <w:tc>
          <w:tcPr>
            <w:tcW w:type="dxa" w:w="1814"/>
          </w:tcPr>
          <w:p>
            <w:r/>
            <w:r>
              <w:rPr>
                <w:rFonts w:ascii="游ゴシック" w:hAnsi="游ゴシック" w:eastAsia="游ゴシック"/>
                <w:sz w:val="17"/>
              </w:rPr>
              <w:t>1,943人</w:t>
            </w:r>
          </w:p>
        </w:tc>
        <w:tc>
          <w:tcPr>
            <w:tcW w:type="dxa" w:w="1814"/>
          </w:tcPr>
          <w:p>
            <w:r/>
            <w:r>
              <w:rPr>
                <w:rFonts w:ascii="游ゴシック" w:hAnsi="游ゴシック" w:eastAsia="游ゴシック"/>
                <w:sz w:val="17"/>
              </w:rPr>
              <w:t>▲41人（▲2.1％）</w:t>
            </w:r>
          </w:p>
        </w:tc>
        <w:tc>
          <w:tcPr>
            <w:tcW w:type="dxa" w:w="2835"/>
          </w:tcPr>
          <w:p>
            <w:r/>
            <w:r>
              <w:rPr>
                <w:rFonts w:ascii="游ゴシック" w:hAnsi="游ゴシック" w:eastAsia="游ゴシック"/>
                <w:sz w:val="17"/>
              </w:rPr>
              <w:t>認定者実績と年齢別認定率を差し替えて再計算</w:t>
            </w:r>
          </w:p>
        </w:tc>
      </w:tr>
    </w:tbl>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【第9期の必要保険料月額と基準額の対比】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第7期に近い水準</w:t>
            </w:r>
          </w:p>
        </w:tc>
      </w:tr>
    </w:tbl>
    <w:p>
      <w:pPr>
        <w:spacing w:after="160"/>
      </w:pPr>
      <w:r>
        <w:rPr>
          <w:rFonts w:ascii="游ゴシック" w:hAnsi="游ゴシック" w:eastAsia="游ゴシック"/>
          <w:b w:val="0"/>
          <w:sz w:val="17"/>
        </w:rPr>
        <w:t>注）必要保険料月額は、当該年度の保険給付費及び地域支援事業費から逆算した概算値です。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第2章第2節／見える化D41・D42・D13・D31・D49</w:t>
            </w:r>
          </w:p>
        </w:tc>
        <w:tc>
          <w:tcPr>
            <w:tcW w:type="dxa" w:w="3515"/>
          </w:tcPr>
          <w:p>
            <w:r/>
            <w:r>
              <w:rPr>
                <w:rFonts w:ascii="游ゴシック" w:hAnsi="游ゴシック" w:eastAsia="游ゴシック"/>
                <w:sz w:val="17"/>
              </w:rPr>
              <w:t>自給率（δ2・δ3）はデータ登録がない。国保連の給付実績情報と指定事業所台帳の突合により算定する（第5章 基本目標3）。なお事業所が存在しない11種別は自給率0％と特定済み。介護SCRは改修待ち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地域差指数による給付水準の要因分解</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