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素案（第10稿・妥当性検証反映）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【第9稿からの主な変更】</w:t>
      </w:r>
    </w:p>
    <w:tbl>
      <w:tblPr>
        <w:tblStyle w:val="TableGrid"/>
        <w:tblW w:type="auto" w:w="0"/>
        <w:jc w:val="center"/>
        <w:tblLook w:firstColumn="1" w:firstRow="1" w:lastColumn="0" w:lastRow="0" w:noHBand="0" w:noVBand="1" w:val="04A0"/>
      </w:tblPr>
      <w:tblGrid>
        <w:gridCol w:w="3362"/>
        <w:gridCol w:w="3362"/>
        <w:gridCol w:w="3362"/>
      </w:tblGrid>
      <w:tr>
        <w:tc>
          <w:tcPr>
            <w:tcW w:type="dxa" w:w="1020"/>
          </w:tcPr>
          <w:p>
            <w:r/>
            <w:r>
              <w:rPr>
                <w:rFonts w:ascii="游ゴシック" w:hAnsi="游ゴシック" w:eastAsia="游ゴシック"/>
                <w:b/>
                <w:sz w:val="17"/>
              </w:rPr>
              <w:t>区分</w:t>
            </w:r>
          </w:p>
        </w:tc>
        <w:tc>
          <w:tcPr>
            <w:tcW w:type="dxa" w:w="6463"/>
          </w:tcPr>
          <w:p>
            <w:r/>
            <w:r>
              <w:rPr>
                <w:rFonts w:ascii="游ゴシック" w:hAnsi="游ゴシック" w:eastAsia="游ゴシック"/>
                <w:b/>
                <w:sz w:val="17"/>
              </w:rPr>
              <w:t>変更の内容</w:t>
            </w:r>
          </w:p>
        </w:tc>
        <w:tc>
          <w:tcPr>
            <w:tcW w:type="dxa" w:w="2608"/>
          </w:tcPr>
          <w:p>
            <w:r/>
            <w:r>
              <w:rPr>
                <w:rFonts w:ascii="游ゴシック" w:hAnsi="游ゴシック" w:eastAsia="游ゴシック"/>
                <w:b/>
                <w:sz w:val="17"/>
              </w:rPr>
              <w:t>根拠</w:t>
            </w:r>
          </w:p>
        </w:tc>
      </w:tr>
      <w:tr>
        <w:tc>
          <w:tcPr>
            <w:tcW w:type="dxa" w:w="1020"/>
          </w:tcPr>
          <w:p>
            <w:r/>
            <w:r>
              <w:rPr>
                <w:rFonts w:ascii="游ゴシック" w:hAnsi="游ゴシック" w:eastAsia="游ゴシック"/>
                <w:sz w:val="17"/>
              </w:rPr>
              <w:t>第2章</w:t>
            </w:r>
          </w:p>
        </w:tc>
        <w:tc>
          <w:tcPr>
            <w:tcW w:type="dxa" w:w="6463"/>
          </w:tcPr>
          <w:p>
            <w:r/>
            <w:r>
              <w:rPr>
                <w:rFonts w:ascii="游ゴシック" w:hAnsi="游ゴシック" w:eastAsia="游ゴシック"/>
                <w:sz w:val="17"/>
              </w:rPr>
              <w:t>供給構造（事業所数・従事者数）、介護サービス利用率、保険者機能強化推進交付金等の評価に関する節を新設した。域内に事業所が存在しないサービスが28種別中11種別あることを明示した。</w:t>
            </w:r>
          </w:p>
        </w:tc>
        <w:tc>
          <w:tcPr>
            <w:tcW w:type="dxa" w:w="2608"/>
          </w:tcPr>
          <w:p>
            <w:r/>
            <w:r>
              <w:rPr>
                <w:rFonts w:ascii="游ゴシック" w:hAnsi="游ゴシック" w:eastAsia="游ゴシック"/>
                <w:sz w:val="17"/>
              </w:rPr>
              <w:t>見える化K1-a〜e・K2-a〜c・K3-a〜t、M2-a〜m、W126〜W145</w:t>
            </w:r>
          </w:p>
        </w:tc>
      </w:tr>
      <w:tr>
        <w:tc>
          <w:tcPr>
            <w:tcW w:type="dxa" w:w="1020"/>
          </w:tcPr>
          <w:p>
            <w:r/>
            <w:r>
              <w:rPr>
                <w:rFonts w:ascii="游ゴシック" w:hAnsi="游ゴシック" w:eastAsia="游ゴシック"/>
                <w:sz w:val="17"/>
              </w:rPr>
              <w:t>第3章</w:t>
            </w:r>
          </w:p>
        </w:tc>
        <w:tc>
          <w:tcPr>
            <w:tcW w:type="dxa" w:w="6463"/>
          </w:tcPr>
          <w:p>
            <w:r/>
            <w:r>
              <w:rPr>
                <w:rFonts w:ascii="游ゴシック" w:hAnsi="游ゴシック" w:eastAsia="游ゴシック"/>
                <w:sz w:val="17"/>
              </w:rPr>
              <w:t>第9期の代表KPIの評価を「目標比」「第9期計画の推計比」「全国・北海道比」の3軸に改めた。代表KPI④について、目標の根拠とした国の目標値8％と実績とで統計が異なることを明記し、「国目標を達成」という評価を撤回した。</w:t>
            </w:r>
          </w:p>
        </w:tc>
        <w:tc>
          <w:tcPr>
            <w:tcW w:type="dxa" w:w="2608"/>
          </w:tcPr>
          <w:p>
            <w:r/>
            <w:r>
              <w:rPr>
                <w:rFonts w:ascii="游ゴシック" w:hAnsi="游ゴシック" w:eastAsia="游ゴシック"/>
                <w:sz w:val="17"/>
              </w:rPr>
              <w:t>第10期基本指針案 別表 九、北海道第9期計画 第4章第3節3</w:t>
            </w:r>
          </w:p>
        </w:tc>
      </w:tr>
      <w:tr>
        <w:tc>
          <w:tcPr>
            <w:tcW w:type="dxa" w:w="1020"/>
          </w:tcPr>
          <w:p>
            <w:r/>
            <w:r>
              <w:rPr>
                <w:rFonts w:ascii="游ゴシック" w:hAnsi="游ゴシック" w:eastAsia="游ゴシック"/>
                <w:sz w:val="17"/>
              </w:rPr>
              <w:t>第4章</w:t>
            </w:r>
          </w:p>
        </w:tc>
        <w:tc>
          <w:tcPr>
            <w:tcW w:type="dxa" w:w="6463"/>
          </w:tcPr>
          <w:p>
            <w:r/>
            <w:r>
              <w:rPr>
                <w:rFonts w:ascii="游ゴシック" w:hAnsi="游ゴシック" w:eastAsia="游ゴシック"/>
                <w:sz w:val="17"/>
              </w:rPr>
              <w:t>代表KPI16項目のデータ源と基準値を確定した。H01は見える化W144（性・年齢調整済み要介護2以上認定率）、H13は職種別従事者数の推移、H14は採用率と離職率の差に定義を改めた。</w:t>
            </w:r>
          </w:p>
        </w:tc>
        <w:tc>
          <w:tcPr>
            <w:tcW w:type="dxa" w:w="2608"/>
          </w:tcPr>
          <w:p>
            <w:r/>
            <w:r>
              <w:rPr>
                <w:rFonts w:ascii="游ゴシック" w:hAnsi="游ゴシック" w:eastAsia="游ゴシック"/>
                <w:sz w:val="17"/>
              </w:rPr>
              <w:t>見える化W144・W145・M2-a〜m</w:t>
            </w:r>
          </w:p>
        </w:tc>
      </w:tr>
      <w:tr>
        <w:tc>
          <w:tcPr>
            <w:tcW w:type="dxa" w:w="1020"/>
          </w:tcPr>
          <w:p>
            <w:r/>
            <w:r>
              <w:rPr>
                <w:rFonts w:ascii="游ゴシック" w:hAnsi="游ゴシック" w:eastAsia="游ゴシック"/>
                <w:sz w:val="17"/>
              </w:rPr>
              <w:t>第5章</w:t>
            </w:r>
          </w:p>
        </w:tc>
        <w:tc>
          <w:tcPr>
            <w:tcW w:type="dxa" w:w="6463"/>
          </w:tcPr>
          <w:p>
            <w:r/>
            <w:r>
              <w:rPr>
                <w:rFonts w:ascii="游ゴシック" w:hAnsi="游ゴシック" w:eastAsia="游ゴシック"/>
                <w:sz w:val="17"/>
              </w:rPr>
              <w:t>全5基本目標を「現状と課題／関連データ／施策の方向性／主な事業（インプット・アウトプット）／達成目標（アウトカム）」の5層構成に改めた。</w:t>
            </w:r>
          </w:p>
        </w:tc>
        <w:tc>
          <w:tcPr>
            <w:tcW w:type="dxa" w:w="2608"/>
          </w:tcPr>
          <w:p>
            <w:r/>
            <w:r>
              <w:rPr>
                <w:rFonts w:ascii="游ゴシック" w:hAnsi="游ゴシック" w:eastAsia="游ゴシック"/>
                <w:sz w:val="17"/>
              </w:rPr>
              <w:t>北海道第9期計画 第5章、第10期基本指針案 第一 二 4</w:t>
            </w:r>
          </w:p>
        </w:tc>
      </w:tr>
      <w:tr>
        <w:tc>
          <w:tcPr>
            <w:tcW w:type="dxa" w:w="1020"/>
          </w:tcPr>
          <w:p>
            <w:r/>
            <w:r>
              <w:rPr>
                <w:rFonts w:ascii="游ゴシック" w:hAnsi="游ゴシック" w:eastAsia="游ゴシック"/>
                <w:sz w:val="17"/>
              </w:rPr>
              <w:t>第6章</w:t>
            </w:r>
          </w:p>
        </w:tc>
        <w:tc>
          <w:tcPr>
            <w:tcW w:type="dxa" w:w="6463"/>
          </w:tcPr>
          <w:p>
            <w:r/>
            <w:r>
              <w:rPr>
                <w:rFonts w:ascii="游ゴシック" w:hAnsi="游ゴシック" w:eastAsia="游ゴシック"/>
                <w:sz w:val="17"/>
              </w:rPr>
              <w:t>24時間対応サービス（定期巡回・夜間対応・看護小規模多機能）の確保方策を整備方針に位置づけた。施設・居住系の定員据置き方針を、定員縮小と重度在宅化の同時進行を踏まえて見直した。</w:t>
            </w:r>
          </w:p>
        </w:tc>
        <w:tc>
          <w:tcPr>
            <w:tcW w:type="dxa" w:w="2608"/>
          </w:tcPr>
          <w:p>
            <w:r/>
            <w:r>
              <w:rPr>
                <w:rFonts w:ascii="游ゴシック" w:hAnsi="游ゴシック" w:eastAsia="游ゴシック"/>
                <w:sz w:val="17"/>
              </w:rPr>
              <w:t>見える化K3m・K3n・K3q、D25・D26・D38</w:t>
            </w:r>
          </w:p>
        </w:tc>
      </w:tr>
      <w:tr>
        <w:tc>
          <w:tcPr>
            <w:tcW w:type="dxa" w:w="1020"/>
          </w:tcPr>
          <w:p>
            <w:r/>
            <w:r>
              <w:rPr>
                <w:rFonts w:ascii="游ゴシック" w:hAnsi="游ゴシック" w:eastAsia="游ゴシック"/>
                <w:sz w:val="17"/>
              </w:rPr>
              <w:t>資料編</w:t>
            </w:r>
          </w:p>
        </w:tc>
        <w:tc>
          <w:tcPr>
            <w:tcW w:type="dxa" w:w="6463"/>
          </w:tcPr>
          <w:p>
            <w:r/>
            <w:r>
              <w:rPr>
                <w:rFonts w:ascii="游ゴシック" w:hAnsi="游ゴシック" w:eastAsia="游ゴシック"/>
                <w:sz w:val="17"/>
              </w:rPr>
              <w:t>基本指針の新別表「確認すべき指標・状況」11事項への対応表（資料6）と図表番号一覧（資料7）を新設した。</w:t>
            </w:r>
          </w:p>
        </w:tc>
        <w:tc>
          <w:tcPr>
            <w:tcW w:type="dxa" w:w="2608"/>
          </w:tcPr>
          <w:p>
            <w:r/>
            <w:r>
              <w:rPr>
                <w:rFonts w:ascii="游ゴシック" w:hAnsi="游ゴシック" w:eastAsia="游ゴシック"/>
                <w:sz w:val="17"/>
              </w:rPr>
              <w:t>第10期基本指針案 別表</w:t>
            </w:r>
          </w:p>
        </w:tc>
      </w:tr>
    </w:tbl>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サービス提供体制の状況【新設】</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保険者機能強化推進交付金等による外部評価【新設】</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基本指針の新別表への対応【新設】</w:t>
      </w:r>
    </w:p>
    <w:p>
      <w:pPr>
        <w:spacing w:after="0"/>
      </w:pPr>
      <w:r>
        <w:rPr>
          <w:rFonts w:ascii="游ゴシック" w:hAnsi="游ゴシック" w:eastAsia="游ゴシック"/>
          <w:b w:val="0"/>
          <w:sz w:val="20"/>
        </w:rPr>
        <w:t xml:space="preserve">　　資料7 図表番号一覧【新設】</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※ページ番号は最終組版時に更新します。【新設】は第9稿からの追加です。</w:t>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spacing w:after="160"/>
      </w:pPr>
      <w:r>
        <w:rPr>
          <w:rFonts w:ascii="游ゴシック" w:hAnsi="游ゴシック" w:eastAsia="游ゴシック"/>
          <w:b w:val="0"/>
          <w:sz w:val="17"/>
        </w:rPr>
        <w:t>注）第9期においては、構成3町の高齢者福祉計画に数値目標が設定されておらず、広域連合の代表KPIの検証に参画することを明記していたのは東川町のみでした。第10期では、3町の計画に共通KPIを掲載していただくことを前提として役割分担表を構成しています（資料2）。この点は第1回介護保険事業計画策定委員会での確認事項です。</w:t>
      </w:r>
    </w:p>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160"/>
      </w:pPr>
      <w:r>
        <w:rPr>
          <w:rFonts w:ascii="游ゴシック" w:hAnsi="游ゴシック" w:eastAsia="游ゴシック"/>
          <w:b w:val="0"/>
          <w:sz w:val="17"/>
        </w:rPr>
        <w:t>注）第10期基本指針案は、介護サービス見込量の把握方法として在宅介護実態調査を明示していますが、同調査は本計画の策定業務の対象調査に含まれていません。家族の就業の状況・意向の把握手段については、第1回委員会で取扱いを確認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361"/>
          </w:tcPr>
          <w:p>
            <w:r/>
            <w:r>
              <w:rPr>
                <w:rFonts w:ascii="游ゴシック" w:hAnsi="游ゴシック" w:eastAsia="游ゴシック"/>
                <w:b/>
                <w:sz w:val="17"/>
              </w:rPr>
              <w:t>時期</w:t>
            </w:r>
          </w:p>
        </w:tc>
        <w:tc>
          <w:tcPr>
            <w:tcW w:type="dxa" w:w="3969"/>
          </w:tcPr>
          <w:p>
            <w:r/>
            <w:r>
              <w:rPr>
                <w:rFonts w:ascii="游ゴシック" w:hAnsi="游ゴシック" w:eastAsia="游ゴシック"/>
                <w:b/>
                <w:sz w:val="17"/>
              </w:rPr>
              <w:t>実施事項</w:t>
            </w:r>
          </w:p>
        </w:tc>
        <w:tc>
          <w:tcPr>
            <w:tcW w:type="dxa" w:w="1474"/>
          </w:tcPr>
          <w:p>
            <w:r/>
            <w:r>
              <w:rPr>
                <w:rFonts w:ascii="游ゴシック" w:hAnsi="游ゴシック" w:eastAsia="游ゴシック"/>
                <w:b/>
                <w:sz w:val="17"/>
              </w:rPr>
              <w:t>根拠となる実績</w:t>
            </w:r>
          </w:p>
        </w:tc>
        <w:tc>
          <w:tcPr>
            <w:tcW w:type="dxa" w:w="1474"/>
          </w:tcPr>
          <w:p>
            <w:r/>
            <w:r>
              <w:rPr>
                <w:rFonts w:ascii="游ゴシック" w:hAnsi="游ゴシック" w:eastAsia="游ゴシック"/>
                <w:b/>
                <w:sz w:val="17"/>
              </w:rPr>
              <w:t>実施主体</w:t>
            </w:r>
          </w:p>
        </w:tc>
        <w:tc>
          <w:tcPr>
            <w:tcW w:type="dxa" w:w="1814"/>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各年度4〜5月</w:t>
            </w:r>
          </w:p>
        </w:tc>
        <w:tc>
          <w:tcPr>
            <w:tcW w:type="dxa" w:w="3969"/>
          </w:tcPr>
          <w:p>
            <w:r/>
            <w:r>
              <w:rPr>
                <w:rFonts w:ascii="游ゴシック" w:hAnsi="游ゴシック" w:eastAsia="游ゴシック"/>
                <w:sz w:val="17"/>
              </w:rPr>
              <w:t>KPIの定義・対象・基準月・担当者を確定し、年度実施要領を作成する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各年度6月</w:t>
            </w:r>
          </w:p>
        </w:tc>
        <w:tc>
          <w:tcPr>
            <w:tcW w:type="dxa" w:w="3969"/>
          </w:tcPr>
          <w:p>
            <w:r/>
            <w:r>
              <w:rPr>
                <w:rFonts w:ascii="游ゴシック" w:hAnsi="游ゴシック" w:eastAsia="游ゴシック"/>
                <w:sz w:val="17"/>
              </w:rPr>
              <w:t>【サイクル1】前年度のKPI実績を算定し、達成・概ね達成・未達・評価不能を判定する</w:t>
            </w:r>
          </w:p>
        </w:tc>
        <w:tc>
          <w:tcPr>
            <w:tcW w:type="dxa" w:w="1474"/>
          </w:tcPr>
          <w:p>
            <w:r/>
            <w:r>
              <w:rPr>
                <w:rFonts w:ascii="游ゴシック" w:hAnsi="游ゴシック" w:eastAsia="游ゴシック"/>
                <w:sz w:val="17"/>
              </w:rPr>
              <w:t>前年度の確定実績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年次評価スコアカード（前年度分）</w:t>
            </w:r>
          </w:p>
        </w:tc>
      </w:tr>
      <w:tr>
        <w:tc>
          <w:tcPr>
            <w:tcW w:type="dxa" w:w="1361"/>
          </w:tcPr>
          <w:p>
            <w:r/>
            <w:r>
              <w:rPr>
                <w:rFonts w:ascii="游ゴシック" w:hAnsi="游ゴシック" w:eastAsia="游ゴシック"/>
                <w:sz w:val="17"/>
              </w:rPr>
              <w:t>各年度7〜9月</w:t>
            </w:r>
          </w:p>
        </w:tc>
        <w:tc>
          <w:tcPr>
            <w:tcW w:type="dxa" w:w="3969"/>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委員会資料、公表資料</w:t>
            </w:r>
          </w:p>
        </w:tc>
      </w:tr>
      <w:tr>
        <w:tc>
          <w:tcPr>
            <w:tcW w:type="dxa" w:w="1361"/>
          </w:tcPr>
          <w:p>
            <w:r/>
            <w:r>
              <w:rPr>
                <w:rFonts w:ascii="游ゴシック" w:hAnsi="游ゴシック" w:eastAsia="游ゴシック"/>
                <w:sz w:val="17"/>
              </w:rPr>
              <w:t>各年度10月</w:t>
            </w:r>
          </w:p>
        </w:tc>
        <w:tc>
          <w:tcPr>
            <w:tcW w:type="dxa" w:w="3969"/>
          </w:tcPr>
          <w:p>
            <w:r/>
            <w:r>
              <w:rPr>
                <w:rFonts w:ascii="游ゴシック" w:hAnsi="游ゴシック" w:eastAsia="游ゴシック"/>
                <w:sz w:val="17"/>
              </w:rPr>
              <w:t>【サイクル2】9月末現在の中間実績により当該年度の達成度・進捗を評価する</w:t>
            </w:r>
          </w:p>
        </w:tc>
        <w:tc>
          <w:tcPr>
            <w:tcW w:type="dxa" w:w="1474"/>
          </w:tcPr>
          <w:p>
            <w:r/>
            <w:r>
              <w:rPr>
                <w:rFonts w:ascii="游ゴシック" w:hAnsi="游ゴシック" w:eastAsia="游ゴシック"/>
                <w:sz w:val="17"/>
              </w:rPr>
              <w:t>9月末現在の中間実績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中間評価表</w:t>
            </w:r>
          </w:p>
        </w:tc>
      </w:tr>
      <w:tr>
        <w:tc>
          <w:tcPr>
            <w:tcW w:type="dxa" w:w="1361"/>
          </w:tcPr>
          <w:p>
            <w:r/>
            <w:r>
              <w:rPr>
                <w:rFonts w:ascii="游ゴシック" w:hAnsi="游ゴシック" w:eastAsia="游ゴシック"/>
                <w:sz w:val="17"/>
              </w:rPr>
              <w:t>各年度11〜3月</w:t>
            </w:r>
          </w:p>
        </w:tc>
        <w:tc>
          <w:tcPr>
            <w:tcW w:type="dxa" w:w="3969"/>
          </w:tcPr>
          <w:p>
            <w:r/>
            <w:r>
              <w:rPr>
                <w:rFonts w:ascii="游ゴシック" w:hAnsi="游ゴシック" w:eastAsia="游ゴシック"/>
                <w:sz w:val="17"/>
              </w:rPr>
              <w:t>次年度の取組案を充実させ、当初予算要求に反映する。改善措置の責任者と期限を決定する</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随時（四半期）</w:t>
            </w:r>
          </w:p>
        </w:tc>
        <w:tc>
          <w:tcPr>
            <w:tcW w:type="dxa" w:w="3969"/>
          </w:tcPr>
          <w:p>
            <w:r/>
            <w:r>
              <w:rPr>
                <w:rFonts w:ascii="游ゴシック" w:hAnsi="游ゴシック" w:eastAsia="游ゴシック"/>
                <w:sz w:val="17"/>
              </w:rPr>
              <w:t>給付費・認定者数・受給者数の計画乖離を点検する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モニタリング表</w:t>
            </w:r>
          </w:p>
        </w:tc>
      </w:tr>
    </w:tbl>
    <w:p>
      <w:pPr>
        <w:spacing w:after="160"/>
      </w:pPr>
      <w:r>
        <w:rPr>
          <w:rFonts w:ascii="游ゴシック" w:hAnsi="游ゴシック" w:eastAsia="游ゴシック"/>
          <w:b w:val="0"/>
          <w:sz w:val="17"/>
        </w:rPr>
        <w:t>注1）各年度7〜9月の関係者間共有は、保険者機能強化推進交付金の評価項目「介護保険事業計画等の進捗状況の評価結果を関係者間で共有し、自立支援・重度化防止等に資する取組を検討しているか」に対応します。第9期においてこの項目が0点であったため、第10期では手順として計画本文に位置づけます。注2）自己評価は、手引きが示す「取組と目標に対する自己評価シート」の様式（フェイスシート＋各年度の自己評価結果）により作成し、公表します。評価は◎達成できた・○概ね達成できた・△達成はやや不十分・×全く達成できなかったの4段階とし、データ源が確保できず算定できない指標は「評価不能」としてその理由と代替指標・改善期限を記録します。注3）自己評価結果は介護保険法第117条に基づき北海道へ報告します。注4）10月の中間評価は9月末現在の実績を用いるため、地域包括ケア「見える化」システムの認定者数の基準月（9月月報）と同じ時点となり、整合的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510"/>
          </w:tcPr>
          <w:p>
            <w:r/>
            <w:r>
              <w:rPr>
                <w:rFonts w:ascii="游ゴシック" w:hAnsi="游ゴシック" w:eastAsia="游ゴシック"/>
                <w:b/>
                <w:sz w:val="17"/>
              </w:rPr>
              <w:t>No.</w:t>
            </w:r>
          </w:p>
        </w:tc>
        <w:tc>
          <w:tcPr>
            <w:tcW w:type="dxa" w:w="907"/>
          </w:tcPr>
          <w:p>
            <w:r/>
            <w:r>
              <w:rPr>
                <w:rFonts w:ascii="游ゴシック" w:hAnsi="游ゴシック" w:eastAsia="游ゴシック"/>
                <w:b/>
                <w:sz w:val="17"/>
              </w:rPr>
              <w:t>日常生活圏域名</w:t>
            </w:r>
          </w:p>
        </w:tc>
        <w:tc>
          <w:tcPr>
            <w:tcW w:type="dxa" w:w="1361"/>
          </w:tcPr>
          <w:p>
            <w:r/>
            <w:r>
              <w:rPr>
                <w:rFonts w:ascii="游ゴシック" w:hAnsi="游ゴシック" w:eastAsia="游ゴシック"/>
                <w:b/>
                <w:sz w:val="17"/>
              </w:rPr>
            </w:r>
          </w:p>
        </w:tc>
        <w:tc>
          <w:tcPr>
            <w:tcW w:type="dxa" w:w="1077"/>
          </w:tcPr>
          <w:p>
            <w:r/>
            <w:r>
              <w:rPr>
                <w:rFonts w:ascii="游ゴシック" w:hAnsi="游ゴシック" w:eastAsia="游ゴシック"/>
                <w:b/>
                <w:sz w:val="17"/>
              </w:rPr>
              <w:t>面積（km²）</w:t>
            </w:r>
          </w:p>
        </w:tc>
        <w:tc>
          <w:tcPr>
            <w:tcW w:type="dxa" w:w="1020"/>
          </w:tcPr>
          <w:p>
            <w:r/>
            <w:r>
              <w:rPr>
                <w:rFonts w:ascii="游ゴシック" w:hAnsi="游ゴシック" w:eastAsia="游ゴシック"/>
                <w:b/>
                <w:sz w:val="17"/>
              </w:rPr>
              <w:t>人口</w:t>
            </w:r>
          </w:p>
        </w:tc>
        <w:tc>
          <w:tcPr>
            <w:tcW w:type="dxa" w:w="1077"/>
          </w:tcPr>
          <w:p>
            <w:r/>
            <w:r>
              <w:rPr>
                <w:rFonts w:ascii="游ゴシック" w:hAnsi="游ゴシック" w:eastAsia="游ゴシック"/>
                <w:b/>
                <w:sz w:val="17"/>
              </w:rPr>
              <w:t>高齢者人口</w:t>
            </w:r>
          </w:p>
        </w:tc>
        <w:tc>
          <w:tcPr>
            <w:tcW w:type="dxa" w:w="850"/>
          </w:tcPr>
          <w:p>
            <w:r/>
            <w:r>
              <w:rPr>
                <w:rFonts w:ascii="游ゴシック" w:hAnsi="游ゴシック" w:eastAsia="游ゴシック"/>
                <w:b/>
                <w:sz w:val="17"/>
              </w:rPr>
              <w:t>高齢化率</w:t>
            </w:r>
          </w:p>
        </w:tc>
        <w:tc>
          <w:tcPr>
            <w:tcW w:type="dxa" w:w="737"/>
          </w:tcPr>
          <w:p>
            <w:r/>
            <w:r>
              <w:rPr>
                <w:rFonts w:ascii="游ゴシック" w:hAnsi="游ゴシック" w:eastAsia="游ゴシック"/>
                <w:b/>
                <w:sz w:val="17"/>
              </w:rPr>
              <w:t>要介護</w:t>
            </w:r>
          </w:p>
        </w:tc>
        <w:tc>
          <w:tcPr>
            <w:tcW w:type="dxa" w:w="737"/>
          </w:tcPr>
          <w:p>
            <w:r/>
            <w:r>
              <w:rPr>
                <w:rFonts w:ascii="游ゴシック" w:hAnsi="游ゴシック" w:eastAsia="游ゴシック"/>
                <w:b/>
                <w:sz w:val="17"/>
              </w:rPr>
              <w:t>要支援</w:t>
            </w:r>
          </w:p>
        </w:tc>
        <w:tc>
          <w:tcPr>
            <w:tcW w:type="dxa" w:w="1814"/>
          </w:tcPr>
          <w:p>
            <w:r/>
            <w:r>
              <w:rPr>
                <w:rFonts w:ascii="游ゴシック" w:hAnsi="游ゴシック" w:eastAsia="游ゴシック"/>
                <w:b/>
                <w:sz w:val="17"/>
              </w:rPr>
              <w:t>第10期での位置づけ（案）</w:t>
            </w:r>
          </w:p>
        </w:tc>
      </w:tr>
      <w:tr>
        <w:tc>
          <w:tcPr>
            <w:tcW w:type="dxa" w:w="510"/>
          </w:tcPr>
          <w:p>
            <w:r/>
            <w:r>
              <w:rPr>
                <w:rFonts w:ascii="游ゴシック" w:hAnsi="游ゴシック" w:eastAsia="游ゴシック"/>
                <w:sz w:val="17"/>
              </w:rPr>
              <w:t>1</w:t>
            </w:r>
          </w:p>
        </w:tc>
        <w:tc>
          <w:tcPr>
            <w:tcW w:type="dxa" w:w="907"/>
          </w:tcPr>
          <w:p>
            <w:r/>
            <w:r>
              <w:rPr>
                <w:rFonts w:ascii="游ゴシック" w:hAnsi="游ゴシック" w:eastAsia="游ゴシック"/>
                <w:sz w:val="17"/>
              </w:rPr>
              <w:t>東川町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247.30</w:t>
            </w:r>
          </w:p>
        </w:tc>
        <w:tc>
          <w:tcPr>
            <w:tcW w:type="dxa" w:w="1020"/>
          </w:tcPr>
          <w:p>
            <w:r/>
            <w:r>
              <w:rPr>
                <w:rFonts w:ascii="游ゴシック" w:hAnsi="游ゴシック" w:eastAsia="游ゴシック"/>
                <w:sz w:val="17"/>
              </w:rPr>
              <w:t>8,558人</w:t>
            </w:r>
          </w:p>
        </w:tc>
        <w:tc>
          <w:tcPr>
            <w:tcW w:type="dxa" w:w="1077"/>
          </w:tcPr>
          <w:p>
            <w:r/>
            <w:r>
              <w:rPr>
                <w:rFonts w:ascii="游ゴシック" w:hAnsi="游ゴシック" w:eastAsia="游ゴシック"/>
                <w:sz w:val="17"/>
              </w:rPr>
              <w:t>2,683人</w:t>
            </w:r>
          </w:p>
        </w:tc>
        <w:tc>
          <w:tcPr>
            <w:tcW w:type="dxa" w:w="850"/>
          </w:tcPr>
          <w:p>
            <w:r/>
            <w:r>
              <w:rPr>
                <w:rFonts w:ascii="游ゴシック" w:hAnsi="游ゴシック" w:eastAsia="游ゴシック"/>
                <w:sz w:val="17"/>
              </w:rPr>
              <w:t>31.4％</w:t>
            </w:r>
          </w:p>
        </w:tc>
        <w:tc>
          <w:tcPr>
            <w:tcW w:type="dxa" w:w="737"/>
          </w:tcPr>
          <w:p>
            <w:r/>
            <w:r>
              <w:rPr>
                <w:rFonts w:ascii="游ゴシック" w:hAnsi="游ゴシック" w:eastAsia="游ゴシック"/>
                <w:sz w:val="17"/>
              </w:rPr>
              <w:t>413人</w:t>
            </w:r>
          </w:p>
        </w:tc>
        <w:tc>
          <w:tcPr>
            <w:tcW w:type="dxa" w:w="737"/>
          </w:tcPr>
          <w:p>
            <w:r/>
            <w:r>
              <w:rPr>
                <w:rFonts w:ascii="游ゴシック" w:hAnsi="游ゴシック" w:eastAsia="游ゴシック"/>
                <w:sz w:val="17"/>
              </w:rPr>
              <w:t>135人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2</w:t>
            </w:r>
          </w:p>
        </w:tc>
        <w:tc>
          <w:tcPr>
            <w:tcW w:type="dxa" w:w="907"/>
          </w:tcPr>
          <w:p>
            <w:r/>
            <w:r>
              <w:rPr>
                <w:rFonts w:ascii="游ゴシック" w:hAnsi="游ゴシック" w:eastAsia="游ゴシック"/>
                <w:sz w:val="17"/>
              </w:rPr>
              <w:t>美瑛町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676.78</w:t>
            </w:r>
          </w:p>
        </w:tc>
        <w:tc>
          <w:tcPr>
            <w:tcW w:type="dxa" w:w="1020"/>
          </w:tcPr>
          <w:p>
            <w:r/>
            <w:r>
              <w:rPr>
                <w:rFonts w:ascii="游ゴシック" w:hAnsi="游ゴシック" w:eastAsia="游ゴシック"/>
                <w:sz w:val="17"/>
              </w:rPr>
              <w:t>9,475人</w:t>
            </w:r>
          </w:p>
        </w:tc>
        <w:tc>
          <w:tcPr>
            <w:tcW w:type="dxa" w:w="1077"/>
          </w:tcPr>
          <w:p>
            <w:r/>
            <w:r>
              <w:rPr>
                <w:rFonts w:ascii="游ゴシック" w:hAnsi="游ゴシック" w:eastAsia="游ゴシック"/>
                <w:sz w:val="17"/>
              </w:rPr>
              <w:t>3,675人</w:t>
            </w:r>
          </w:p>
        </w:tc>
        <w:tc>
          <w:tcPr>
            <w:tcW w:type="dxa" w:w="850"/>
          </w:tcPr>
          <w:p>
            <w:r/>
            <w:r>
              <w:rPr>
                <w:rFonts w:ascii="游ゴシック" w:hAnsi="游ゴシック" w:eastAsia="游ゴシック"/>
                <w:sz w:val="17"/>
              </w:rPr>
              <w:t>38.8％</w:t>
            </w:r>
          </w:p>
        </w:tc>
        <w:tc>
          <w:tcPr>
            <w:tcW w:type="dxa" w:w="737"/>
          </w:tcPr>
          <w:p>
            <w:r/>
            <w:r>
              <w:rPr>
                <w:rFonts w:ascii="游ゴシック" w:hAnsi="游ゴシック" w:eastAsia="游ゴシック"/>
                <w:sz w:val="17"/>
              </w:rPr>
              <w:t>644人</w:t>
            </w:r>
          </w:p>
        </w:tc>
        <w:tc>
          <w:tcPr>
            <w:tcW w:type="dxa" w:w="737"/>
          </w:tcPr>
          <w:p>
            <w:r/>
            <w:r>
              <w:rPr>
                <w:rFonts w:ascii="游ゴシック" w:hAnsi="游ゴシック" w:eastAsia="游ゴシック"/>
                <w:sz w:val="17"/>
              </w:rPr>
              <w:t>262人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2-1</w:t>
            </w:r>
          </w:p>
        </w:tc>
        <w:tc>
          <w:tcPr>
            <w:tcW w:type="dxa" w:w="1361"/>
          </w:tcPr>
          <w:p>
            <w:r/>
            <w:r>
              <w:rPr>
                <w:rFonts w:ascii="游ゴシック" w:hAnsi="游ゴシック" w:eastAsia="游ゴシック"/>
                <w:sz w:val="17"/>
              </w:rPr>
              <w:t>旭・北西地区</w:t>
            </w:r>
          </w:p>
        </w:tc>
        <w:tc>
          <w:tcPr>
            <w:tcW w:type="dxa" w:w="1077"/>
          </w:tcPr>
          <w:p>
            <w:r/>
            <w:r>
              <w:rPr>
                <w:rFonts w:ascii="游ゴシック" w:hAnsi="游ゴシック" w:eastAsia="游ゴシック"/>
                <w:sz w:val="17"/>
              </w:rPr>
              <w:t>51.69</w:t>
            </w:r>
          </w:p>
        </w:tc>
        <w:tc>
          <w:tcPr>
            <w:tcW w:type="dxa" w:w="1020"/>
          </w:tcPr>
          <w:p>
            <w:r/>
            <w:r>
              <w:rPr>
                <w:rFonts w:ascii="游ゴシック" w:hAnsi="游ゴシック" w:eastAsia="游ゴシック"/>
                <w:sz w:val="17"/>
              </w:rPr>
              <w:t>684人</w:t>
            </w:r>
          </w:p>
        </w:tc>
        <w:tc>
          <w:tcPr>
            <w:tcW w:type="dxa" w:w="1077"/>
          </w:tcPr>
          <w:p>
            <w:r/>
            <w:r>
              <w:rPr>
                <w:rFonts w:ascii="游ゴシック" w:hAnsi="游ゴシック" w:eastAsia="游ゴシック"/>
                <w:sz w:val="17"/>
              </w:rPr>
              <w:t>308人</w:t>
            </w:r>
          </w:p>
        </w:tc>
        <w:tc>
          <w:tcPr>
            <w:tcW w:type="dxa" w:w="850"/>
          </w:tcPr>
          <w:p>
            <w:r/>
            <w:r>
              <w:rPr>
                <w:rFonts w:ascii="游ゴシック" w:hAnsi="游ゴシック" w:eastAsia="游ゴシック"/>
                <w:sz w:val="17"/>
              </w:rPr>
              <w:t>45.0％</w:t>
            </w:r>
          </w:p>
        </w:tc>
        <w:tc>
          <w:tcPr>
            <w:tcW w:type="dxa" w:w="737"/>
          </w:tcPr>
          <w:p>
            <w:r/>
            <w:r>
              <w:rPr>
                <w:rFonts w:ascii="游ゴシック" w:hAnsi="游ゴシック" w:eastAsia="游ゴシック"/>
                <w:sz w:val="17"/>
              </w:rPr>
              <w:t>50人</w:t>
            </w:r>
          </w:p>
        </w:tc>
        <w:tc>
          <w:tcPr>
            <w:tcW w:type="dxa" w:w="737"/>
          </w:tcPr>
          <w:p>
            <w:r/>
            <w:r>
              <w:rPr>
                <w:rFonts w:ascii="游ゴシック" w:hAnsi="游ゴシック" w:eastAsia="游ゴシック"/>
                <w:sz w:val="17"/>
              </w:rPr>
              <w:t>33人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2-2</w:t>
            </w:r>
          </w:p>
        </w:tc>
        <w:tc>
          <w:tcPr>
            <w:tcW w:type="dxa" w:w="1361"/>
          </w:tcPr>
          <w:p>
            <w:r/>
            <w:r>
              <w:rPr>
                <w:rFonts w:ascii="游ゴシック" w:hAnsi="游ゴシック" w:eastAsia="游ゴシック"/>
                <w:sz w:val="17"/>
              </w:rPr>
              <w:t>美馬牛地区</w:t>
            </w:r>
          </w:p>
        </w:tc>
        <w:tc>
          <w:tcPr>
            <w:tcW w:type="dxa" w:w="1077"/>
          </w:tcPr>
          <w:p>
            <w:r/>
            <w:r>
              <w:rPr>
                <w:rFonts w:ascii="游ゴシック" w:hAnsi="游ゴシック" w:eastAsia="游ゴシック"/>
                <w:sz w:val="17"/>
              </w:rPr>
              <w:t>58.18</w:t>
            </w:r>
          </w:p>
        </w:tc>
        <w:tc>
          <w:tcPr>
            <w:tcW w:type="dxa" w:w="1020"/>
          </w:tcPr>
          <w:p>
            <w:r/>
            <w:r>
              <w:rPr>
                <w:rFonts w:ascii="游ゴシック" w:hAnsi="游ゴシック" w:eastAsia="游ゴシック"/>
                <w:sz w:val="17"/>
              </w:rPr>
              <w:t>689人</w:t>
            </w:r>
          </w:p>
        </w:tc>
        <w:tc>
          <w:tcPr>
            <w:tcW w:type="dxa" w:w="1077"/>
          </w:tcPr>
          <w:p>
            <w:r/>
            <w:r>
              <w:rPr>
                <w:rFonts w:ascii="游ゴシック" w:hAnsi="游ゴシック" w:eastAsia="游ゴシック"/>
                <w:sz w:val="17"/>
              </w:rPr>
              <w:t>288人</w:t>
            </w:r>
          </w:p>
        </w:tc>
        <w:tc>
          <w:tcPr>
            <w:tcW w:type="dxa" w:w="850"/>
          </w:tcPr>
          <w:p>
            <w:r/>
            <w:r>
              <w:rPr>
                <w:rFonts w:ascii="游ゴシック" w:hAnsi="游ゴシック" w:eastAsia="游ゴシック"/>
                <w:sz w:val="17"/>
              </w:rPr>
              <w:t>41.8％</w:t>
            </w:r>
          </w:p>
        </w:tc>
        <w:tc>
          <w:tcPr>
            <w:tcW w:type="dxa" w:w="737"/>
          </w:tcPr>
          <w:p>
            <w:r/>
            <w:r>
              <w:rPr>
                <w:rFonts w:ascii="游ゴシック" w:hAnsi="游ゴシック" w:eastAsia="游ゴシック"/>
                <w:sz w:val="17"/>
              </w:rPr>
              <w:t>34人</w:t>
            </w:r>
          </w:p>
        </w:tc>
        <w:tc>
          <w:tcPr>
            <w:tcW w:type="dxa" w:w="737"/>
          </w:tcPr>
          <w:p>
            <w:r/>
            <w:r>
              <w:rPr>
                <w:rFonts w:ascii="游ゴシック" w:hAnsi="游ゴシック" w:eastAsia="游ゴシック"/>
                <w:sz w:val="17"/>
              </w:rPr>
              <w:t>19人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2-3</w:t>
            </w:r>
          </w:p>
        </w:tc>
        <w:tc>
          <w:tcPr>
            <w:tcW w:type="dxa" w:w="1361"/>
          </w:tcPr>
          <w:p>
            <w:r/>
            <w:r>
              <w:rPr>
                <w:rFonts w:ascii="游ゴシック" w:hAnsi="游ゴシック" w:eastAsia="游ゴシック"/>
                <w:sz w:val="17"/>
              </w:rPr>
              <w:t>朗根内地区</w:t>
            </w:r>
          </w:p>
        </w:tc>
        <w:tc>
          <w:tcPr>
            <w:tcW w:type="dxa" w:w="1077"/>
          </w:tcPr>
          <w:p>
            <w:r/>
            <w:r>
              <w:rPr>
                <w:rFonts w:ascii="游ゴシック" w:hAnsi="游ゴシック" w:eastAsia="游ゴシック"/>
                <w:sz w:val="17"/>
              </w:rPr>
              <w:t>30.11</w:t>
            </w:r>
          </w:p>
        </w:tc>
        <w:tc>
          <w:tcPr>
            <w:tcW w:type="dxa" w:w="1020"/>
          </w:tcPr>
          <w:p>
            <w:r/>
            <w:r>
              <w:rPr>
                <w:rFonts w:ascii="游ゴシック" w:hAnsi="游ゴシック" w:eastAsia="游ゴシック"/>
                <w:sz w:val="17"/>
              </w:rPr>
              <w:t>233人</w:t>
            </w:r>
          </w:p>
        </w:tc>
        <w:tc>
          <w:tcPr>
            <w:tcW w:type="dxa" w:w="1077"/>
          </w:tcPr>
          <w:p>
            <w:r/>
            <w:r>
              <w:rPr>
                <w:rFonts w:ascii="游ゴシック" w:hAnsi="游ゴシック" w:eastAsia="游ゴシック"/>
                <w:sz w:val="17"/>
              </w:rPr>
              <w:t>82人</w:t>
            </w:r>
          </w:p>
        </w:tc>
        <w:tc>
          <w:tcPr>
            <w:tcW w:type="dxa" w:w="850"/>
          </w:tcPr>
          <w:p>
            <w:r/>
            <w:r>
              <w:rPr>
                <w:rFonts w:ascii="游ゴシック" w:hAnsi="游ゴシック" w:eastAsia="游ゴシック"/>
                <w:sz w:val="17"/>
              </w:rPr>
              <w:t>35.2％</w:t>
            </w:r>
          </w:p>
        </w:tc>
        <w:tc>
          <w:tcPr>
            <w:tcW w:type="dxa" w:w="737"/>
          </w:tcPr>
          <w:p>
            <w:r/>
            <w:r>
              <w:rPr>
                <w:rFonts w:ascii="游ゴシック" w:hAnsi="游ゴシック" w:eastAsia="游ゴシック"/>
                <w:sz w:val="17"/>
              </w:rPr>
              <w:t>16人</w:t>
            </w:r>
          </w:p>
        </w:tc>
        <w:tc>
          <w:tcPr>
            <w:tcW w:type="dxa" w:w="737"/>
          </w:tcPr>
          <w:p>
            <w:r/>
            <w:r>
              <w:rPr>
                <w:rFonts w:ascii="游ゴシック" w:hAnsi="游ゴシック" w:eastAsia="游ゴシック"/>
                <w:sz w:val="17"/>
              </w:rPr>
              <w:t>5人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2-4</w:t>
            </w:r>
          </w:p>
        </w:tc>
        <w:tc>
          <w:tcPr>
            <w:tcW w:type="dxa" w:w="1361"/>
          </w:tcPr>
          <w:p>
            <w:r/>
            <w:r>
              <w:rPr>
                <w:rFonts w:ascii="游ゴシック" w:hAnsi="游ゴシック" w:eastAsia="游ゴシック"/>
                <w:sz w:val="17"/>
              </w:rPr>
              <w:t>市街地・周辺地区</w:t>
            </w:r>
          </w:p>
        </w:tc>
        <w:tc>
          <w:tcPr>
            <w:tcW w:type="dxa" w:w="1077"/>
          </w:tcPr>
          <w:p>
            <w:r/>
            <w:r>
              <w:rPr>
                <w:rFonts w:ascii="游ゴシック" w:hAnsi="游ゴシック" w:eastAsia="游ゴシック"/>
                <w:sz w:val="17"/>
              </w:rPr>
              <w:t>536.80</w:t>
            </w:r>
          </w:p>
        </w:tc>
        <w:tc>
          <w:tcPr>
            <w:tcW w:type="dxa" w:w="1020"/>
          </w:tcPr>
          <w:p>
            <w:r/>
            <w:r>
              <w:rPr>
                <w:rFonts w:ascii="游ゴシック" w:hAnsi="游ゴシック" w:eastAsia="游ゴシック"/>
                <w:sz w:val="17"/>
              </w:rPr>
              <w:t>7,869人</w:t>
            </w:r>
          </w:p>
        </w:tc>
        <w:tc>
          <w:tcPr>
            <w:tcW w:type="dxa" w:w="1077"/>
          </w:tcPr>
          <w:p>
            <w:r/>
            <w:r>
              <w:rPr>
                <w:rFonts w:ascii="游ゴシック" w:hAnsi="游ゴシック" w:eastAsia="游ゴシック"/>
                <w:sz w:val="17"/>
              </w:rPr>
              <w:t>2,997人</w:t>
            </w:r>
          </w:p>
        </w:tc>
        <w:tc>
          <w:tcPr>
            <w:tcW w:type="dxa" w:w="850"/>
          </w:tcPr>
          <w:p>
            <w:r/>
            <w:r>
              <w:rPr>
                <w:rFonts w:ascii="游ゴシック" w:hAnsi="游ゴシック" w:eastAsia="游ゴシック"/>
                <w:sz w:val="17"/>
              </w:rPr>
              <w:t>38.1％</w:t>
            </w:r>
          </w:p>
        </w:tc>
        <w:tc>
          <w:tcPr>
            <w:tcW w:type="dxa" w:w="737"/>
          </w:tcPr>
          <w:p>
            <w:r/>
            <w:r>
              <w:rPr>
                <w:rFonts w:ascii="游ゴシック" w:hAnsi="游ゴシック" w:eastAsia="游ゴシック"/>
                <w:sz w:val="17"/>
              </w:rPr>
              <w:t>544人</w:t>
            </w:r>
          </w:p>
        </w:tc>
        <w:tc>
          <w:tcPr>
            <w:tcW w:type="dxa" w:w="737"/>
          </w:tcPr>
          <w:p>
            <w:r/>
            <w:r>
              <w:rPr>
                <w:rFonts w:ascii="游ゴシック" w:hAnsi="游ゴシック" w:eastAsia="游ゴシック"/>
                <w:sz w:val="17"/>
              </w:rPr>
              <w:t>205人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3</w:t>
            </w:r>
          </w:p>
        </w:tc>
        <w:tc>
          <w:tcPr>
            <w:tcW w:type="dxa" w:w="907"/>
          </w:tcPr>
          <w:p>
            <w:r/>
            <w:r>
              <w:rPr>
                <w:rFonts w:ascii="游ゴシック" w:hAnsi="游ゴシック" w:eastAsia="游ゴシック"/>
                <w:sz w:val="17"/>
              </w:rPr>
              <w:t>東神楽町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68.50</w:t>
            </w:r>
          </w:p>
        </w:tc>
        <w:tc>
          <w:tcPr>
            <w:tcW w:type="dxa" w:w="1020"/>
          </w:tcPr>
          <w:p>
            <w:r/>
            <w:r>
              <w:rPr>
                <w:rFonts w:ascii="游ゴシック" w:hAnsi="游ゴシック" w:eastAsia="游ゴシック"/>
                <w:sz w:val="17"/>
              </w:rPr>
              <w:t>9,854人</w:t>
            </w:r>
          </w:p>
        </w:tc>
        <w:tc>
          <w:tcPr>
            <w:tcW w:type="dxa" w:w="1077"/>
          </w:tcPr>
          <w:p>
            <w:r/>
            <w:r>
              <w:rPr>
                <w:rFonts w:ascii="游ゴシック" w:hAnsi="游ゴシック" w:eastAsia="游ゴシック"/>
                <w:sz w:val="17"/>
              </w:rPr>
              <w:t>2,833人</w:t>
            </w:r>
          </w:p>
        </w:tc>
        <w:tc>
          <w:tcPr>
            <w:tcW w:type="dxa" w:w="850"/>
          </w:tcPr>
          <w:p>
            <w:r/>
            <w:r>
              <w:rPr>
                <w:rFonts w:ascii="游ゴシック" w:hAnsi="游ゴシック" w:eastAsia="游ゴシック"/>
                <w:sz w:val="17"/>
              </w:rPr>
              <w:t>28.8％</w:t>
            </w:r>
          </w:p>
        </w:tc>
        <w:tc>
          <w:tcPr>
            <w:tcW w:type="dxa" w:w="737"/>
          </w:tcPr>
          <w:p>
            <w:r/>
            <w:r>
              <w:rPr>
                <w:rFonts w:ascii="游ゴシック" w:hAnsi="游ゴシック" w:eastAsia="游ゴシック"/>
                <w:sz w:val="17"/>
              </w:rPr>
              <w:t>386人</w:t>
            </w:r>
          </w:p>
        </w:tc>
        <w:tc>
          <w:tcPr>
            <w:tcW w:type="dxa" w:w="737"/>
          </w:tcPr>
          <w:p>
            <w:r/>
            <w:r>
              <w:rPr>
                <w:rFonts w:ascii="游ゴシック" w:hAnsi="游ゴシック" w:eastAsia="游ゴシック"/>
                <w:sz w:val="17"/>
              </w:rPr>
              <w:t>136人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計</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992.58</w:t>
            </w:r>
          </w:p>
        </w:tc>
        <w:tc>
          <w:tcPr>
            <w:tcW w:type="dxa" w:w="1020"/>
          </w:tcPr>
          <w:p>
            <w:r/>
            <w:r>
              <w:rPr>
                <w:rFonts w:ascii="游ゴシック" w:hAnsi="游ゴシック" w:eastAsia="游ゴシック"/>
                <w:sz w:val="17"/>
              </w:rPr>
              <w:t>27,887人</w:t>
            </w:r>
          </w:p>
        </w:tc>
        <w:tc>
          <w:tcPr>
            <w:tcW w:type="dxa" w:w="1077"/>
          </w:tcPr>
          <w:p>
            <w:r/>
            <w:r>
              <w:rPr>
                <w:rFonts w:ascii="游ゴシック" w:hAnsi="游ゴシック" w:eastAsia="游ゴシック"/>
                <w:sz w:val="17"/>
              </w:rPr>
              <w:t>9,191人</w:t>
            </w:r>
          </w:p>
        </w:tc>
        <w:tc>
          <w:tcPr>
            <w:tcW w:type="dxa" w:w="850"/>
          </w:tcPr>
          <w:p>
            <w:r/>
            <w:r>
              <w:rPr>
                <w:rFonts w:ascii="游ゴシック" w:hAnsi="游ゴシック" w:eastAsia="游ゴシック"/>
                <w:sz w:val="17"/>
              </w:rPr>
              <w:t>32.9％</w:t>
            </w:r>
          </w:p>
        </w:tc>
        <w:tc>
          <w:tcPr>
            <w:tcW w:type="dxa" w:w="737"/>
          </w:tcPr>
          <w:p>
            <w:r/>
            <w:r>
              <w:rPr>
                <w:rFonts w:ascii="游ゴシック" w:hAnsi="游ゴシック" w:eastAsia="游ゴシック"/>
                <w:sz w:val="17"/>
              </w:rPr>
              <w:t>1,443人</w:t>
            </w:r>
          </w:p>
        </w:tc>
        <w:tc>
          <w:tcPr>
            <w:tcW w:type="dxa" w:w="737"/>
          </w:tcPr>
          <w:p>
            <w:r/>
            <w:r>
              <w:rPr>
                <w:rFonts w:ascii="游ゴシック" w:hAnsi="游ゴシック" w:eastAsia="游ゴシック"/>
                <w:sz w:val="17"/>
              </w:rPr>
              <w:t>533人</w:t>
            </w:r>
          </w:p>
        </w:tc>
        <w:tc>
          <w:tcPr>
            <w:tcW w:type="dxa" w:w="181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472000" cy="25308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472000" cy="25308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160"/>
      </w:pPr>
      <w:r>
        <w:rPr>
          <w:rFonts w:ascii="游ゴシック" w:hAnsi="游ゴシック" w:eastAsia="游ゴシック"/>
          <w:b w:val="0"/>
          <w:sz w:val="17"/>
        </w:rPr>
        <w:t>注1）介護保険法第117条第2項第1号は、地理的条件、人口、交通事情その他の社会的条件、介護給付等対象サービスを提供するための施設の整備の状況等を勘案して圏域を定めることを求めています。統計単位と整備単位を分けることは、この規定と矛盾しません。注2）第10期基本指針案の別表 一は「特に訪問・通所困難地域がある場合は、当該地域へのアクセスや社会資源の状況等を確認」することを求めていますが、該当の判定基準は示されていません。本計画では、指定居宅サービス事業者等が運営規程に定める「通常の事業の実施地域」に着目し、区域内のいずれの訪問系・通所系事業所の通常の事業の実施地域にも含まれない区域を訪問・通所困難地域と定義します。この定義は事業所の運営規程という公的な記録に基づくため、根拠を示して記載できます。あわせて、中山間地域等居住者サービス提供加算の算定実績、公共交通の状況、冬期の道路状況を補足材料とします。注3）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これらから、朗根内地区（人口233人）は訪問・通所困難地域に該当する可能性が最も高く、旭・北西地区（高齢化率45.0％）も該当の可能性があります。美馬牛地区にはJR富良野線美馬牛駅があります。美瑛町の面積は676.78km²で東神楽町（68.5km²）の約9.9倍であり、同じ町内でも移動距離が大きく異なります。また東川町は大雪山国立公園を含み面積247.3km²であるため、山間部の居住状況の確認も必要です。判定は、3町及び北海道から全事業所の通常の事業の実施地域を収集したうえで確定します。注4）圏域の設定は第1回委員会での決定事項で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spacing w:after="160"/>
      </w:pPr>
      <w:r>
        <w:rPr>
          <w:rFonts w:ascii="游ゴシック" w:hAnsi="游ゴシック" w:eastAsia="游ゴシック"/>
          <w:b w:val="0"/>
          <w:sz w:val="17"/>
        </w:rPr>
        <w:t>注1）読替えの方針は第1回委員会での決定事項です。北海道が管内の広域連合（道内24広域連合）に対して読替えの考え方を示している場合は、それに従います。北海道への照会を予定しています。注2）北海道の評価指標のうち、①地域包括支援センター運営状況調査の評価結果、⑥採用率と離職率の差、⑧給付適正化主要3事業の実施率の3項目は、既存の全国調査又は既存データから当広域連合についても算定できます。第10期のKPIの補完指標として活用します。</w:t>
      </w:r>
    </w:p>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段階</w:t>
            </w:r>
          </w:p>
        </w:tc>
        <w:tc>
          <w:tcPr>
            <w:tcW w:type="dxa" w:w="3175"/>
          </w:tcPr>
          <w:p>
            <w:r/>
            <w:r>
              <w:rPr>
                <w:rFonts w:ascii="游ゴシック" w:hAnsi="游ゴシック" w:eastAsia="游ゴシック"/>
                <w:b/>
                <w:sz w:val="17"/>
              </w:rPr>
              <w:t>基準</w:t>
            </w:r>
          </w:p>
        </w:tc>
        <w:tc>
          <w:tcPr>
            <w:tcW w:type="dxa" w:w="2268"/>
          </w:tcPr>
          <w:p>
            <w:r/>
            <w:r>
              <w:rPr>
                <w:rFonts w:ascii="游ゴシック" w:hAnsi="游ゴシック" w:eastAsia="游ゴシック"/>
                <w:b/>
                <w:sz w:val="17"/>
              </w:rPr>
              <w:t>指定の単位</w:t>
            </w:r>
          </w:p>
        </w:tc>
        <w:tc>
          <w:tcPr>
            <w:tcW w:type="dxa" w:w="3969"/>
          </w:tcPr>
          <w:p>
            <w:r/>
            <w:r>
              <w:rPr>
                <w:rFonts w:ascii="游ゴシック" w:hAnsi="游ゴシック" w:eastAsia="游ゴシック"/>
                <w:b/>
                <w:sz w:val="17"/>
              </w:rPr>
              <w:t>本広域連合への適用</w:t>
            </w:r>
          </w:p>
        </w:tc>
      </w:tr>
      <w:tr>
        <w:tc>
          <w:tcPr>
            <w:tcW w:type="dxa" w:w="680"/>
          </w:tcPr>
          <w:p>
            <w:r/>
            <w:r>
              <w:rPr>
                <w:rFonts w:ascii="游ゴシック" w:hAnsi="游ゴシック" w:eastAsia="游ゴシック"/>
                <w:sz w:val="17"/>
              </w:rPr>
              <w:t>①</w:t>
            </w:r>
          </w:p>
        </w:tc>
        <w:tc>
          <w:tcPr>
            <w:tcW w:type="dxa" w:w="3175"/>
          </w:tcPr>
          <w:p>
            <w:r/>
            <w:r>
              <w:rPr>
                <w:rFonts w:ascii="游ゴシック" w:hAnsi="游ゴシック" w:eastAsia="游ゴシック"/>
                <w:sz w:val="17"/>
              </w:rPr>
              <w:t>特別地域加算・離島等相当サービスの対象地域（市町村の全部指定・一部指定いずれも含む）</w:t>
            </w:r>
          </w:p>
        </w:tc>
        <w:tc>
          <w:tcPr>
            <w:tcW w:type="dxa" w:w="2268"/>
          </w:tcPr>
          <w:p>
            <w:r/>
            <w:r>
              <w:rPr>
                <w:rFonts w:ascii="游ゴシック" w:hAnsi="游ゴシック" w:eastAsia="游ゴシック"/>
                <w:sz w:val="17"/>
              </w:rPr>
              <w:t>市町村の全部又は一部</w:t>
            </w:r>
          </w:p>
        </w:tc>
        <w:tc>
          <w:tcPr>
            <w:tcW w:type="dxa" w:w="3969"/>
          </w:tcPr>
          <w:p>
            <w:r/>
            <w:r>
              <w:rPr>
                <w:rFonts w:ascii="游ゴシック" w:hAnsi="游ゴシック" w:eastAsia="游ゴシック"/>
                <w:sz w:val="17"/>
              </w:rPr>
              <w:t>東川町・美瑛町は特別豪雪地帯を有し、美瑛町は過疎地域でもあるため、対象地域である可能性がある。告示の確認を要する。</w:t>
            </w:r>
          </w:p>
        </w:tc>
      </w:tr>
      <w:tr>
        <w:tc>
          <w:tcPr>
            <w:tcW w:type="dxa" w:w="680"/>
          </w:tcPr>
          <w:p>
            <w:r/>
            <w:r>
              <w:rPr>
                <w:rFonts w:ascii="游ゴシック" w:hAnsi="游ゴシック" w:eastAsia="游ゴシック"/>
                <w:sz w:val="17"/>
              </w:rPr>
              <w:t>②</w:t>
            </w:r>
          </w:p>
        </w:tc>
        <w:tc>
          <w:tcPr>
            <w:tcW w:type="dxa" w:w="3175"/>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268"/>
          </w:tcPr>
          <w:p>
            <w:r/>
            <w:r>
              <w:rPr>
                <w:rFonts w:ascii="游ゴシック" w:hAnsi="游ゴシック" w:eastAsia="游ゴシック"/>
                <w:sz w:val="17"/>
              </w:rPr>
              <w:t>市町村の全域</w:t>
            </w:r>
          </w:p>
        </w:tc>
        <w:tc>
          <w:tcPr>
            <w:tcW w:type="dxa" w:w="3969"/>
          </w:tcPr>
          <w:p>
            <w:r/>
            <w:r>
              <w:rPr>
                <w:rFonts w:ascii="游ゴシック" w:hAnsi="游ゴシック" w:eastAsia="游ゴシック"/>
                <w:sz w:val="17"/>
              </w:rPr>
              <w:t>美瑛町は密度要件に該当する見込み。東川町・東神楽町は非該当の見込み。</w:t>
            </w:r>
          </w:p>
        </w:tc>
      </w:tr>
      <w:tr>
        <w:tc>
          <w:tcPr>
            <w:tcW w:type="dxa" w:w="680"/>
          </w:tcPr>
          <w:p>
            <w:r/>
            <w:r>
              <w:rPr>
                <w:rFonts w:ascii="游ゴシック" w:hAnsi="游ゴシック" w:eastAsia="游ゴシック"/>
                <w:sz w:val="17"/>
              </w:rPr>
              <w:t>③</w:t>
            </w:r>
          </w:p>
        </w:tc>
        <w:tc>
          <w:tcPr>
            <w:tcW w:type="dxa" w:w="3175"/>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268"/>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969"/>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020"/>
          </w:tcPr>
          <w:p>
            <w:r/>
            <w:r>
              <w:rPr>
                <w:rFonts w:ascii="游ゴシック" w:hAnsi="游ゴシック" w:eastAsia="游ゴシック"/>
                <w:b/>
                <w:sz w:val="17"/>
              </w:rPr>
              <w:t>町</w:t>
            </w:r>
          </w:p>
        </w:tc>
        <w:tc>
          <w:tcPr>
            <w:tcW w:type="dxa" w:w="1134"/>
          </w:tcPr>
          <w:p>
            <w:r/>
            <w:r>
              <w:rPr>
                <w:rFonts w:ascii="游ゴシック" w:hAnsi="游ゴシック" w:eastAsia="游ゴシック"/>
                <w:b/>
                <w:sz w:val="17"/>
              </w:rPr>
              <w:t>面積</w:t>
            </w:r>
          </w:p>
        </w:tc>
        <w:tc>
          <w:tcPr>
            <w:tcW w:type="dxa" w:w="1247"/>
          </w:tcPr>
          <w:p>
            <w:r/>
            <w:r>
              <w:rPr>
                <w:rFonts w:ascii="游ゴシック" w:hAnsi="游ゴシック" w:eastAsia="游ゴシック"/>
                <w:b/>
                <w:sz w:val="17"/>
              </w:rPr>
              <w:t>5人／km²の閾値</w:t>
            </w:r>
          </w:p>
        </w:tc>
        <w:tc>
          <w:tcPr>
            <w:tcW w:type="dxa" w:w="1474"/>
          </w:tcPr>
          <w:p>
            <w:r/>
            <w:r>
              <w:rPr>
                <w:rFonts w:ascii="游ゴシック" w:hAnsi="游ゴシック" w:eastAsia="游ゴシック"/>
                <w:b/>
                <w:sz w:val="17"/>
              </w:rPr>
              <w:t>75歳以上人口（推計）</w:t>
            </w:r>
          </w:p>
        </w:tc>
        <w:tc>
          <w:tcPr>
            <w:tcW w:type="dxa" w:w="1361"/>
          </w:tcPr>
          <w:p>
            <w:r/>
            <w:r>
              <w:rPr>
                <w:rFonts w:ascii="游ゴシック" w:hAnsi="游ゴシック" w:eastAsia="游ゴシック"/>
                <w:b/>
                <w:sz w:val="17"/>
              </w:rPr>
              <w:t>密度</w:t>
            </w:r>
          </w:p>
        </w:tc>
        <w:tc>
          <w:tcPr>
            <w:tcW w:type="dxa" w:w="3855"/>
          </w:tcPr>
          <w:p>
            <w:r/>
            <w:r>
              <w:rPr>
                <w:rFonts w:ascii="游ゴシック" w:hAnsi="游ゴシック" w:eastAsia="游ゴシック"/>
                <w:b/>
                <w:sz w:val="17"/>
              </w:rPr>
              <w:t>基準②の判定</w:t>
            </w:r>
          </w:p>
        </w:tc>
      </w:tr>
      <w:tr>
        <w:tc>
          <w:tcPr>
            <w:tcW w:type="dxa" w:w="1020"/>
          </w:tcPr>
          <w:p>
            <w:r/>
            <w:r>
              <w:rPr>
                <w:rFonts w:ascii="游ゴシック" w:hAnsi="游ゴシック" w:eastAsia="游ゴシック"/>
                <w:sz w:val="17"/>
              </w:rPr>
              <w:t>美瑛町</w:t>
            </w:r>
          </w:p>
        </w:tc>
        <w:tc>
          <w:tcPr>
            <w:tcW w:type="dxa" w:w="1134"/>
          </w:tcPr>
          <w:p>
            <w:r/>
            <w:r>
              <w:rPr>
                <w:rFonts w:ascii="游ゴシック" w:hAnsi="游ゴシック" w:eastAsia="游ゴシック"/>
                <w:sz w:val="17"/>
              </w:rPr>
              <w:t>676.78km²</w:t>
            </w:r>
          </w:p>
        </w:tc>
        <w:tc>
          <w:tcPr>
            <w:tcW w:type="dxa" w:w="1247"/>
          </w:tcPr>
          <w:p>
            <w:r/>
            <w:r>
              <w:rPr>
                <w:rFonts w:ascii="游ゴシック" w:hAnsi="游ゴシック" w:eastAsia="游ゴシック"/>
                <w:sz w:val="17"/>
              </w:rPr>
              <w:t>3,384人</w:t>
            </w:r>
          </w:p>
        </w:tc>
        <w:tc>
          <w:tcPr>
            <w:tcW w:type="dxa" w:w="1474"/>
          </w:tcPr>
          <w:p>
            <w:r/>
            <w:r>
              <w:rPr>
                <w:rFonts w:ascii="游ゴシック" w:hAnsi="游ゴシック" w:eastAsia="游ゴシック"/>
                <w:sz w:val="17"/>
              </w:rPr>
              <w:t>約2,000〜2,100人</w:t>
            </w:r>
          </w:p>
        </w:tc>
        <w:tc>
          <w:tcPr>
            <w:tcW w:type="dxa" w:w="1361"/>
          </w:tcPr>
          <w:p>
            <w:r/>
            <w:r>
              <w:rPr>
                <w:rFonts w:ascii="游ゴシック" w:hAnsi="游ゴシック" w:eastAsia="游ゴシック"/>
                <w:sz w:val="17"/>
              </w:rPr>
              <w:t>3.0〜3.1人／km²</w:t>
            </w:r>
          </w:p>
        </w:tc>
        <w:tc>
          <w:tcPr>
            <w:tcW w:type="dxa" w:w="385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1020"/>
          </w:tcPr>
          <w:p>
            <w:r/>
            <w:r>
              <w:rPr>
                <w:rFonts w:ascii="游ゴシック" w:hAnsi="游ゴシック" w:eastAsia="游ゴシック"/>
                <w:sz w:val="17"/>
              </w:rPr>
              <w:t>東川町</w:t>
            </w:r>
          </w:p>
        </w:tc>
        <w:tc>
          <w:tcPr>
            <w:tcW w:type="dxa" w:w="1134"/>
          </w:tcPr>
          <w:p>
            <w:r/>
            <w:r>
              <w:rPr>
                <w:rFonts w:ascii="游ゴシック" w:hAnsi="游ゴシック" w:eastAsia="游ゴシック"/>
                <w:sz w:val="17"/>
              </w:rPr>
              <w:t>247.3km²</w:t>
            </w:r>
          </w:p>
        </w:tc>
        <w:tc>
          <w:tcPr>
            <w:tcW w:type="dxa" w:w="1247"/>
          </w:tcPr>
          <w:p>
            <w:r/>
            <w:r>
              <w:rPr>
                <w:rFonts w:ascii="游ゴシック" w:hAnsi="游ゴシック" w:eastAsia="游ゴシック"/>
                <w:sz w:val="17"/>
              </w:rPr>
              <w:t>1,236人</w:t>
            </w:r>
          </w:p>
        </w:tc>
        <w:tc>
          <w:tcPr>
            <w:tcW w:type="dxa" w:w="1474"/>
          </w:tcPr>
          <w:p>
            <w:r/>
            <w:r>
              <w:rPr>
                <w:rFonts w:ascii="游ゴシック" w:hAnsi="游ゴシック" w:eastAsia="游ゴシック"/>
                <w:sz w:val="17"/>
              </w:rPr>
              <w:t>約1,500〜1,550人</w:t>
            </w:r>
          </w:p>
        </w:tc>
        <w:tc>
          <w:tcPr>
            <w:tcW w:type="dxa" w:w="1361"/>
          </w:tcPr>
          <w:p>
            <w:r/>
            <w:r>
              <w:rPr>
                <w:rFonts w:ascii="游ゴシック" w:hAnsi="游ゴシック" w:eastAsia="游ゴシック"/>
                <w:sz w:val="17"/>
              </w:rPr>
              <w:t>6.1〜6.3人／km²</w:t>
            </w:r>
          </w:p>
        </w:tc>
        <w:tc>
          <w:tcPr>
            <w:tcW w:type="dxa" w:w="3855"/>
          </w:tcPr>
          <w:p>
            <w:r/>
            <w:r>
              <w:rPr>
                <w:rFonts w:ascii="游ゴシック" w:hAnsi="游ゴシック" w:eastAsia="游ゴシック"/>
                <w:sz w:val="17"/>
              </w:rPr>
              <w:t>非該当の見込み。閾値を21〜25％上回る。確定値による検証を要する。</w:t>
            </w:r>
          </w:p>
        </w:tc>
      </w:tr>
      <w:tr>
        <w:tc>
          <w:tcPr>
            <w:tcW w:type="dxa" w:w="1020"/>
          </w:tcPr>
          <w:p>
            <w:r/>
            <w:r>
              <w:rPr>
                <w:rFonts w:ascii="游ゴシック" w:hAnsi="游ゴシック" w:eastAsia="游ゴシック"/>
                <w:sz w:val="17"/>
              </w:rPr>
              <w:t>東神楽町</w:t>
            </w:r>
          </w:p>
        </w:tc>
        <w:tc>
          <w:tcPr>
            <w:tcW w:type="dxa" w:w="1134"/>
          </w:tcPr>
          <w:p>
            <w:r/>
            <w:r>
              <w:rPr>
                <w:rFonts w:ascii="游ゴシック" w:hAnsi="游ゴシック" w:eastAsia="游ゴシック"/>
                <w:sz w:val="17"/>
              </w:rPr>
              <w:t>68.5km²</w:t>
            </w:r>
          </w:p>
        </w:tc>
        <w:tc>
          <w:tcPr>
            <w:tcW w:type="dxa" w:w="1247"/>
          </w:tcPr>
          <w:p>
            <w:r/>
            <w:r>
              <w:rPr>
                <w:rFonts w:ascii="游ゴシック" w:hAnsi="游ゴシック" w:eastAsia="游ゴシック"/>
                <w:sz w:val="17"/>
              </w:rPr>
              <w:t>342人</w:t>
            </w:r>
          </w:p>
        </w:tc>
        <w:tc>
          <w:tcPr>
            <w:tcW w:type="dxa" w:w="1474"/>
          </w:tcPr>
          <w:p>
            <w:r/>
            <w:r>
              <w:rPr>
                <w:rFonts w:ascii="游ゴシック" w:hAnsi="游ゴシック" w:eastAsia="游ゴシック"/>
                <w:sz w:val="17"/>
              </w:rPr>
              <w:t>約1,500〜1,600人</w:t>
            </w:r>
          </w:p>
        </w:tc>
        <w:tc>
          <w:tcPr>
            <w:tcW w:type="dxa" w:w="1361"/>
          </w:tcPr>
          <w:p>
            <w:r/>
            <w:r>
              <w:rPr>
                <w:rFonts w:ascii="游ゴシック" w:hAnsi="游ゴシック" w:eastAsia="游ゴシック"/>
                <w:sz w:val="17"/>
              </w:rPr>
              <w:t>21.9〜23.4人／km²</w:t>
            </w:r>
          </w:p>
        </w:tc>
        <w:tc>
          <w:tcPr>
            <w:tcW w:type="dxa" w:w="385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472000" cy="337634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472000" cy="3376340"/>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注1）判定は保険者単位ではなく市町村単位で行われます。制度の適用単位について北海道への確認を要します。注2）75歳以上人口は、見える化A3（後期高齢者数）の本広域連合計（令和2年5,167人）を第9期計画の町別高齢化率で按分した推計値です。原典は令和2年国勢調査を用いることとしているため、3町の面積及び同調査ベースの75歳以上人口の確定値により判定を確定します。注3）基準②のもう一方の要件「1,000人未満かつ減少」については、本広域連合の75歳以上人口が令和2年5,167人から令和7年5,701人へ10.3％増加しており、3町とも該当しないと考えられます。注4）基準は令和8年6月29日に素案として示されたもので告示前です。注5）介護報酬上の「中山間地域等」とは別の制度です（第2章第3節）。</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注）当広域連合の区域内には、介護療養型医療施設及び介護医療院がいずれも存在しません（第2章第3節）。慢性期医療及び看取りの受け皿は区域外に依存しており、北海道及び上川中部圏域との調整が必要です。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17458"/>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472000" cy="3217458"/>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472000" cy="3735354"/>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472000" cy="3735354"/>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587"/>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r>
          </w:p>
        </w:tc>
        <w:tc>
          <w:tcPr>
            <w:tcW w:type="dxa" w:w="124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平成22年度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平成27年度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令和2年度</w:t>
            </w:r>
          </w:p>
        </w:tc>
        <w:tc>
          <w:tcPr>
            <w:tcW w:type="dxa" w:w="1077"/>
          </w:tcPr>
          <w:p>
            <w:r/>
            <w:r>
              <w:rPr>
                <w:rFonts w:ascii="游ゴシック" w:hAnsi="游ゴシック" w:eastAsia="游ゴシック"/>
                <w:b/>
                <w:sz w:val="17"/>
              </w:rPr>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r>
      <w:tr>
        <w:tc>
          <w:tcPr>
            <w:tcW w:type="dxa" w:w="1587"/>
          </w:tcPr>
          <w:p>
            <w:r/>
            <w:r>
              <w:rPr>
                <w:rFonts w:ascii="游ゴシック" w:hAnsi="游ゴシック" w:eastAsia="游ゴシック"/>
                <w:sz w:val="17"/>
              </w:rPr>
              <w:t>一般世帯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10,536</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11,050</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11,426</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2,965</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3,132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3,391</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4,289</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4,274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4,205</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3,282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3,644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t>高齢者同居世帯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4,885</w:t>
            </w:r>
          </w:p>
        </w:tc>
        <w:tc>
          <w:tcPr>
            <w:tcW w:type="dxa" w:w="1077"/>
          </w:tcPr>
          <w:p>
            <w:r/>
            <w:r>
              <w:rPr>
                <w:rFonts w:ascii="游ゴシック" w:hAnsi="游ゴシック" w:eastAsia="游ゴシック"/>
                <w:sz w:val="17"/>
              </w:rPr>
              <w:t>46.4</w:t>
            </w:r>
          </w:p>
        </w:tc>
        <w:tc>
          <w:tcPr>
            <w:tcW w:type="dxa" w:w="964"/>
          </w:tcPr>
          <w:p>
            <w:r/>
            <w:r>
              <w:rPr>
                <w:rFonts w:ascii="游ゴシック" w:hAnsi="游ゴシック" w:eastAsia="游ゴシック"/>
                <w:sz w:val="17"/>
              </w:rPr>
              <w:t>5,318</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5,622</w:t>
            </w:r>
          </w:p>
        </w:tc>
        <w:tc>
          <w:tcPr>
            <w:tcW w:type="dxa" w:w="1077"/>
          </w:tcPr>
          <w:p>
            <w:r/>
            <w:r>
              <w:rPr>
                <w:rFonts w:ascii="游ゴシック" w:hAnsi="游ゴシック" w:eastAsia="游ゴシック"/>
                <w:sz w:val="17"/>
              </w:rPr>
              <w:t>49.2</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1,316</w:t>
            </w:r>
          </w:p>
        </w:tc>
        <w:tc>
          <w:tcPr>
            <w:tcW w:type="dxa" w:w="1077"/>
          </w:tcPr>
          <w:p>
            <w:r/>
            <w:r>
              <w:rPr>
                <w:rFonts w:ascii="游ゴシック" w:hAnsi="游ゴシック" w:eastAsia="游ゴシック"/>
                <w:sz w:val="17"/>
              </w:rPr>
              <w:t>44.4</w:t>
            </w:r>
          </w:p>
        </w:tc>
        <w:tc>
          <w:tcPr>
            <w:tcW w:type="dxa" w:w="964"/>
          </w:tcPr>
          <w:p>
            <w:r/>
            <w:r>
              <w:rPr>
                <w:rFonts w:ascii="游ゴシック" w:hAnsi="游ゴシック" w:eastAsia="游ゴシック"/>
                <w:sz w:val="17"/>
              </w:rPr>
              <w:t>1,506</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1,620</w:t>
            </w:r>
          </w:p>
        </w:tc>
        <w:tc>
          <w:tcPr>
            <w:tcW w:type="dxa" w:w="1077"/>
          </w:tcPr>
          <w:p>
            <w:r/>
            <w:r>
              <w:rPr>
                <w:rFonts w:ascii="游ゴシック" w:hAnsi="游ゴシック" w:eastAsia="游ゴシック"/>
                <w:sz w:val="17"/>
              </w:rPr>
              <w:t>47.8</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2,330</w:t>
            </w:r>
          </w:p>
        </w:tc>
        <w:tc>
          <w:tcPr>
            <w:tcW w:type="dxa" w:w="1077"/>
          </w:tcPr>
          <w:p>
            <w:r/>
            <w:r>
              <w:rPr>
                <w:rFonts w:ascii="游ゴシック" w:hAnsi="游ゴシック" w:eastAsia="游ゴシック"/>
                <w:sz w:val="17"/>
              </w:rPr>
              <w:t>54.3</w:t>
            </w:r>
          </w:p>
        </w:tc>
        <w:tc>
          <w:tcPr>
            <w:tcW w:type="dxa" w:w="964"/>
          </w:tcPr>
          <w:p>
            <w:r/>
            <w:r>
              <w:rPr>
                <w:rFonts w:ascii="游ゴシック" w:hAnsi="游ゴシック" w:eastAsia="游ゴシック"/>
                <w:sz w:val="17"/>
              </w:rPr>
              <w:t>2,341</w:t>
            </w:r>
          </w:p>
        </w:tc>
        <w:tc>
          <w:tcPr>
            <w:tcW w:type="dxa" w:w="1077"/>
          </w:tcPr>
          <w:p>
            <w:r/>
            <w:r>
              <w:rPr>
                <w:rFonts w:ascii="游ゴシック" w:hAnsi="游ゴシック" w:eastAsia="游ゴシック"/>
                <w:sz w:val="17"/>
              </w:rPr>
              <w:t>54.8</w:t>
            </w:r>
          </w:p>
        </w:tc>
        <w:tc>
          <w:tcPr>
            <w:tcW w:type="dxa" w:w="964"/>
          </w:tcPr>
          <w:p>
            <w:r/>
            <w:r>
              <w:rPr>
                <w:rFonts w:ascii="游ゴシック" w:hAnsi="游ゴシック" w:eastAsia="游ゴシック"/>
                <w:sz w:val="17"/>
              </w:rPr>
              <w:t>2,353</w:t>
            </w:r>
          </w:p>
        </w:tc>
        <w:tc>
          <w:tcPr>
            <w:tcW w:type="dxa" w:w="1077"/>
          </w:tcPr>
          <w:p>
            <w:r/>
            <w:r>
              <w:rPr>
                <w:rFonts w:ascii="游ゴシック" w:hAnsi="游ゴシック" w:eastAsia="游ゴシック"/>
                <w:sz w:val="17"/>
              </w:rPr>
              <w:t>56.0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1,239</w:t>
            </w:r>
          </w:p>
        </w:tc>
        <w:tc>
          <w:tcPr>
            <w:tcW w:type="dxa" w:w="1077"/>
          </w:tcPr>
          <w:p>
            <w:r/>
            <w:r>
              <w:rPr>
                <w:rFonts w:ascii="游ゴシック" w:hAnsi="游ゴシック" w:eastAsia="游ゴシック"/>
                <w:sz w:val="17"/>
              </w:rPr>
              <w:t>37.8</w:t>
            </w:r>
          </w:p>
        </w:tc>
        <w:tc>
          <w:tcPr>
            <w:tcW w:type="dxa" w:w="964"/>
          </w:tcPr>
          <w:p>
            <w:r/>
            <w:r>
              <w:rPr>
                <w:rFonts w:ascii="游ゴシック" w:hAnsi="游ゴシック" w:eastAsia="游ゴシック"/>
                <w:sz w:val="17"/>
              </w:rPr>
              <w:t>1,471</w:t>
            </w:r>
          </w:p>
        </w:tc>
        <w:tc>
          <w:tcPr>
            <w:tcW w:type="dxa" w:w="1077"/>
          </w:tcPr>
          <w:p>
            <w:r/>
            <w:r>
              <w:rPr>
                <w:rFonts w:ascii="游ゴシック" w:hAnsi="游ゴシック" w:eastAsia="游ゴシック"/>
                <w:sz w:val="17"/>
              </w:rPr>
              <w:t>40.4</w:t>
            </w:r>
          </w:p>
        </w:tc>
        <w:tc>
          <w:tcPr>
            <w:tcW w:type="dxa" w:w="964"/>
          </w:tcPr>
          <w:p>
            <w:r/>
            <w:r>
              <w:rPr>
                <w:rFonts w:ascii="游ゴシック" w:hAnsi="游ゴシック" w:eastAsia="游ゴシック"/>
                <w:sz w:val="17"/>
              </w:rPr>
              <w:t>1,649</w:t>
            </w:r>
          </w:p>
        </w:tc>
        <w:tc>
          <w:tcPr>
            <w:tcW w:type="dxa" w:w="1077"/>
          </w:tcPr>
          <w:p>
            <w:r/>
            <w:r>
              <w:rPr>
                <w:rFonts w:ascii="游ゴシック" w:hAnsi="游ゴシック" w:eastAsia="游ゴシック"/>
                <w:sz w:val="17"/>
              </w:rPr>
              <w:t>43.1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高齢者夫婦世帯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1,461</w:t>
            </w:r>
          </w:p>
        </w:tc>
        <w:tc>
          <w:tcPr>
            <w:tcW w:type="dxa" w:w="1077"/>
          </w:tcPr>
          <w:p>
            <w:r/>
            <w:r>
              <w:rPr>
                <w:rFonts w:ascii="游ゴシック" w:hAnsi="游ゴシック" w:eastAsia="游ゴシック"/>
                <w:sz w:val="17"/>
              </w:rPr>
              <w:t>13.7</w:t>
            </w:r>
          </w:p>
        </w:tc>
        <w:tc>
          <w:tcPr>
            <w:tcW w:type="dxa" w:w="964"/>
          </w:tcPr>
          <w:p>
            <w:r/>
            <w:r>
              <w:rPr>
                <w:rFonts w:ascii="游ゴシック" w:hAnsi="游ゴシック" w:eastAsia="游ゴシック"/>
                <w:sz w:val="17"/>
              </w:rPr>
              <w:t>1,697</w:t>
            </w:r>
          </w:p>
        </w:tc>
        <w:tc>
          <w:tcPr>
            <w:tcW w:type="dxa" w:w="1077"/>
          </w:tcPr>
          <w:p>
            <w:r/>
            <w:r>
              <w:rPr>
                <w:rFonts w:ascii="游ゴシック" w:hAnsi="游ゴシック" w:eastAsia="游ゴシック"/>
                <w:sz w:val="17"/>
              </w:rPr>
              <w:t>14.6</w:t>
            </w:r>
          </w:p>
        </w:tc>
        <w:tc>
          <w:tcPr>
            <w:tcW w:type="dxa" w:w="964"/>
          </w:tcPr>
          <w:p>
            <w:r/>
            <w:r>
              <w:rPr>
                <w:rFonts w:ascii="游ゴシック" w:hAnsi="游ゴシック" w:eastAsia="游ゴシック"/>
                <w:sz w:val="17"/>
              </w:rPr>
              <w:t>1,950</w:t>
            </w:r>
          </w:p>
        </w:tc>
        <w:tc>
          <w:tcPr>
            <w:tcW w:type="dxa" w:w="1077"/>
          </w:tcPr>
          <w:p>
            <w:r/>
            <w:r>
              <w:rPr>
                <w:rFonts w:ascii="游ゴシック" w:hAnsi="游ゴシック" w:eastAsia="游ゴシック"/>
                <w:sz w:val="17"/>
              </w:rPr>
              <w:t>17.1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387</w:t>
            </w:r>
          </w:p>
        </w:tc>
        <w:tc>
          <w:tcPr>
            <w:tcW w:type="dxa" w:w="1077"/>
          </w:tcPr>
          <w:p>
            <w:r/>
            <w:r>
              <w:rPr>
                <w:rFonts w:ascii="游ゴシック" w:hAnsi="游ゴシック" w:eastAsia="游ゴシック"/>
                <w:sz w:val="17"/>
              </w:rPr>
              <w:t>12.9</w:t>
            </w:r>
          </w:p>
        </w:tc>
        <w:tc>
          <w:tcPr>
            <w:tcW w:type="dxa" w:w="964"/>
          </w:tcPr>
          <w:p>
            <w:r/>
            <w:r>
              <w:rPr>
                <w:rFonts w:ascii="游ゴシック" w:hAnsi="游ゴシック" w:eastAsia="游ゴシック"/>
                <w:sz w:val="17"/>
              </w:rPr>
              <w:t>504</w:t>
            </w:r>
          </w:p>
        </w:tc>
        <w:tc>
          <w:tcPr>
            <w:tcW w:type="dxa" w:w="1077"/>
          </w:tcPr>
          <w:p>
            <w:r/>
            <w:r>
              <w:rPr>
                <w:rFonts w:ascii="游ゴシック" w:hAnsi="游ゴシック" w:eastAsia="游ゴシック"/>
                <w:sz w:val="17"/>
              </w:rPr>
              <w:t>16.1</w:t>
            </w:r>
          </w:p>
        </w:tc>
        <w:tc>
          <w:tcPr>
            <w:tcW w:type="dxa" w:w="964"/>
          </w:tcPr>
          <w:p>
            <w:r/>
            <w:r>
              <w:rPr>
                <w:rFonts w:ascii="游ゴシック" w:hAnsi="游ゴシック" w:eastAsia="游ゴシック"/>
                <w:sz w:val="17"/>
              </w:rPr>
              <w:t>596</w:t>
            </w:r>
          </w:p>
        </w:tc>
        <w:tc>
          <w:tcPr>
            <w:tcW w:type="dxa" w:w="1077"/>
          </w:tcPr>
          <w:p>
            <w:r/>
            <w:r>
              <w:rPr>
                <w:rFonts w:ascii="游ゴシック" w:hAnsi="游ゴシック" w:eastAsia="游ゴシック"/>
                <w:sz w:val="17"/>
              </w:rPr>
              <w:t>17.6</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667</w:t>
            </w:r>
          </w:p>
        </w:tc>
        <w:tc>
          <w:tcPr>
            <w:tcW w:type="dxa" w:w="1077"/>
          </w:tcPr>
          <w:p>
            <w:r/>
            <w:r>
              <w:rPr>
                <w:rFonts w:ascii="游ゴシック" w:hAnsi="游ゴシック" w:eastAsia="游ゴシック"/>
                <w:sz w:val="17"/>
              </w:rPr>
              <w:t>15.4</w:t>
            </w:r>
          </w:p>
        </w:tc>
        <w:tc>
          <w:tcPr>
            <w:tcW w:type="dxa" w:w="964"/>
          </w:tcPr>
          <w:p>
            <w:r/>
            <w:r>
              <w:rPr>
                <w:rFonts w:ascii="游ゴシック" w:hAnsi="游ゴシック" w:eastAsia="游ゴシック"/>
                <w:sz w:val="17"/>
              </w:rPr>
              <w:t>739</w:t>
            </w:r>
          </w:p>
        </w:tc>
        <w:tc>
          <w:tcPr>
            <w:tcW w:type="dxa" w:w="1077"/>
          </w:tcPr>
          <w:p>
            <w:r/>
            <w:r>
              <w:rPr>
                <w:rFonts w:ascii="游ゴシック" w:hAnsi="游ゴシック" w:eastAsia="游ゴシック"/>
                <w:sz w:val="17"/>
              </w:rPr>
              <w:t>17.3</w:t>
            </w:r>
          </w:p>
        </w:tc>
        <w:tc>
          <w:tcPr>
            <w:tcW w:type="dxa" w:w="964"/>
          </w:tcPr>
          <w:p>
            <w:r/>
            <w:r>
              <w:rPr>
                <w:rFonts w:ascii="游ゴシック" w:hAnsi="游ゴシック" w:eastAsia="游ゴシック"/>
                <w:sz w:val="17"/>
              </w:rPr>
              <w:t>743</w:t>
            </w:r>
          </w:p>
        </w:tc>
        <w:tc>
          <w:tcPr>
            <w:tcW w:type="dxa" w:w="1077"/>
          </w:tcPr>
          <w:p>
            <w:r/>
            <w:r>
              <w:rPr>
                <w:rFonts w:ascii="游ゴシック" w:hAnsi="游ゴシック" w:eastAsia="游ゴシック"/>
                <w:sz w:val="17"/>
              </w:rPr>
              <w:t>17.7</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407</w:t>
            </w:r>
          </w:p>
        </w:tc>
        <w:tc>
          <w:tcPr>
            <w:tcW w:type="dxa" w:w="1077"/>
          </w:tcPr>
          <w:p>
            <w:r/>
            <w:r>
              <w:rPr>
                <w:rFonts w:ascii="游ゴシック" w:hAnsi="游ゴシック" w:eastAsia="游ゴシック"/>
                <w:sz w:val="17"/>
              </w:rPr>
              <w:t>12.3</w:t>
            </w:r>
          </w:p>
        </w:tc>
        <w:tc>
          <w:tcPr>
            <w:tcW w:type="dxa" w:w="964"/>
          </w:tcPr>
          <w:p>
            <w:r/>
            <w:r>
              <w:rPr>
                <w:rFonts w:ascii="游ゴシック" w:hAnsi="游ゴシック" w:eastAsia="游ゴシック"/>
                <w:sz w:val="17"/>
              </w:rPr>
              <w:t>454</w:t>
            </w:r>
          </w:p>
        </w:tc>
        <w:tc>
          <w:tcPr>
            <w:tcW w:type="dxa" w:w="1077"/>
          </w:tcPr>
          <w:p>
            <w:r/>
            <w:r>
              <w:rPr>
                <w:rFonts w:ascii="游ゴシック" w:hAnsi="游ゴシック" w:eastAsia="游ゴシック"/>
                <w:sz w:val="17"/>
              </w:rPr>
              <w:t>12.5</w:t>
            </w:r>
          </w:p>
        </w:tc>
        <w:tc>
          <w:tcPr>
            <w:tcW w:type="dxa" w:w="964"/>
          </w:tcPr>
          <w:p>
            <w:r/>
            <w:r>
              <w:rPr>
                <w:rFonts w:ascii="游ゴシック" w:hAnsi="游ゴシック" w:eastAsia="游ゴシック"/>
                <w:sz w:val="17"/>
              </w:rPr>
              <w:t>611</w:t>
            </w:r>
          </w:p>
        </w:tc>
        <w:tc>
          <w:tcPr>
            <w:tcW w:type="dxa" w:w="1077"/>
          </w:tcPr>
          <w:p>
            <w:r/>
            <w:r>
              <w:rPr>
                <w:rFonts w:ascii="游ゴシック" w:hAnsi="游ゴシック" w:eastAsia="游ゴシック"/>
                <w:sz w:val="17"/>
              </w:rPr>
              <w:t>16.0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高齢者単身世帯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1,076</w:t>
            </w:r>
          </w:p>
        </w:tc>
        <w:tc>
          <w:tcPr>
            <w:tcW w:type="dxa" w:w="1077"/>
          </w:tcPr>
          <w:p>
            <w:r/>
            <w:r>
              <w:rPr>
                <w:rFonts w:ascii="游ゴシック" w:hAnsi="游ゴシック" w:eastAsia="游ゴシック"/>
                <w:sz w:val="17"/>
              </w:rPr>
              <w:t>10.2</w:t>
            </w:r>
          </w:p>
        </w:tc>
        <w:tc>
          <w:tcPr>
            <w:tcW w:type="dxa" w:w="964"/>
          </w:tcPr>
          <w:p>
            <w:r/>
            <w:r>
              <w:rPr>
                <w:rFonts w:ascii="游ゴシック" w:hAnsi="游ゴシック" w:eastAsia="游ゴシック"/>
                <w:sz w:val="17"/>
              </w:rPr>
              <w:t>1,331</w:t>
            </w:r>
          </w:p>
        </w:tc>
        <w:tc>
          <w:tcPr>
            <w:tcW w:type="dxa" w:w="1077"/>
          </w:tcPr>
          <w:p>
            <w:r/>
            <w:r>
              <w:rPr>
                <w:rFonts w:ascii="游ゴシック" w:hAnsi="游ゴシック" w:eastAsia="游ゴシック"/>
                <w:sz w:val="17"/>
              </w:rPr>
              <w:t>12.0</w:t>
            </w:r>
          </w:p>
        </w:tc>
        <w:tc>
          <w:tcPr>
            <w:tcW w:type="dxa" w:w="964"/>
          </w:tcPr>
          <w:p>
            <w:r/>
            <w:r>
              <w:rPr>
                <w:rFonts w:ascii="游ゴシック" w:hAnsi="游ゴシック" w:eastAsia="游ゴシック"/>
                <w:sz w:val="17"/>
              </w:rPr>
              <w:t>1,638</w:t>
            </w:r>
          </w:p>
        </w:tc>
        <w:tc>
          <w:tcPr>
            <w:tcW w:type="dxa" w:w="1077"/>
          </w:tcPr>
          <w:p>
            <w:r/>
            <w:r>
              <w:rPr>
                <w:rFonts w:ascii="游ゴシック" w:hAnsi="游ゴシック" w:eastAsia="游ゴシック"/>
                <w:sz w:val="17"/>
              </w:rPr>
              <w:t>14.3</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295</w:t>
            </w:r>
          </w:p>
        </w:tc>
        <w:tc>
          <w:tcPr>
            <w:tcW w:type="dxa" w:w="1077"/>
          </w:tcPr>
          <w:p>
            <w:r/>
            <w:r>
              <w:rPr>
                <w:rFonts w:ascii="游ゴシック" w:hAnsi="游ゴシック" w:eastAsia="游ゴシック"/>
                <w:sz w:val="17"/>
              </w:rPr>
              <w:t>9.9</w:t>
            </w:r>
          </w:p>
        </w:tc>
        <w:tc>
          <w:tcPr>
            <w:tcW w:type="dxa" w:w="964"/>
          </w:tcPr>
          <w:p>
            <w:r/>
            <w:r>
              <w:rPr>
                <w:rFonts w:ascii="游ゴシック" w:hAnsi="游ゴシック" w:eastAsia="游ゴシック"/>
                <w:sz w:val="17"/>
              </w:rPr>
              <w:t>363</w:t>
            </w:r>
          </w:p>
        </w:tc>
        <w:tc>
          <w:tcPr>
            <w:tcW w:type="dxa" w:w="1077"/>
          </w:tcPr>
          <w:p>
            <w:r/>
            <w:r>
              <w:rPr>
                <w:rFonts w:ascii="游ゴシック" w:hAnsi="游ゴシック" w:eastAsia="游ゴシック"/>
                <w:sz w:val="17"/>
              </w:rPr>
              <w:t>11.6</w:t>
            </w:r>
          </w:p>
        </w:tc>
        <w:tc>
          <w:tcPr>
            <w:tcW w:type="dxa" w:w="964"/>
          </w:tcPr>
          <w:p>
            <w:r/>
            <w:r>
              <w:rPr>
                <w:rFonts w:ascii="游ゴシック" w:hAnsi="游ゴシック" w:eastAsia="游ゴシック"/>
                <w:sz w:val="17"/>
              </w:rPr>
              <w:t>490</w:t>
            </w:r>
          </w:p>
        </w:tc>
        <w:tc>
          <w:tcPr>
            <w:tcW w:type="dxa" w:w="1077"/>
          </w:tcPr>
          <w:p>
            <w:r/>
            <w:r>
              <w:rPr>
                <w:rFonts w:ascii="游ゴシック" w:hAnsi="游ゴシック" w:eastAsia="游ゴシック"/>
                <w:sz w:val="17"/>
              </w:rPr>
              <w:t>14.5</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531</w:t>
            </w:r>
          </w:p>
        </w:tc>
        <w:tc>
          <w:tcPr>
            <w:tcW w:type="dxa" w:w="1077"/>
          </w:tcPr>
          <w:p>
            <w:r/>
            <w:r>
              <w:rPr>
                <w:rFonts w:ascii="游ゴシック" w:hAnsi="游ゴシック" w:eastAsia="游ゴシック"/>
                <w:sz w:val="17"/>
              </w:rPr>
              <w:t>12.4</w:t>
            </w:r>
          </w:p>
        </w:tc>
        <w:tc>
          <w:tcPr>
            <w:tcW w:type="dxa" w:w="964"/>
          </w:tcPr>
          <w:p>
            <w:r/>
            <w:r>
              <w:rPr>
                <w:rFonts w:ascii="游ゴシック" w:hAnsi="游ゴシック" w:eastAsia="游ゴシック"/>
                <w:sz w:val="17"/>
              </w:rPr>
              <w:t>653</w:t>
            </w:r>
          </w:p>
        </w:tc>
        <w:tc>
          <w:tcPr>
            <w:tcW w:type="dxa" w:w="1077"/>
          </w:tcPr>
          <w:p>
            <w:r/>
            <w:r>
              <w:rPr>
                <w:rFonts w:ascii="游ゴシック" w:hAnsi="游ゴシック" w:eastAsia="游ゴシック"/>
                <w:sz w:val="17"/>
              </w:rPr>
              <w:t>15.3</w:t>
            </w:r>
          </w:p>
        </w:tc>
        <w:tc>
          <w:tcPr>
            <w:tcW w:type="dxa" w:w="964"/>
          </w:tcPr>
          <w:p>
            <w:r/>
            <w:r>
              <w:rPr>
                <w:rFonts w:ascii="游ゴシック" w:hAnsi="游ゴシック" w:eastAsia="游ゴシック"/>
                <w:sz w:val="17"/>
              </w:rPr>
              <w:t>714</w:t>
            </w:r>
          </w:p>
        </w:tc>
        <w:tc>
          <w:tcPr>
            <w:tcW w:type="dxa" w:w="1077"/>
          </w:tcPr>
          <w:p>
            <w:r/>
            <w:r>
              <w:rPr>
                <w:rFonts w:ascii="游ゴシック" w:hAnsi="游ゴシック" w:eastAsia="游ゴシック"/>
                <w:sz w:val="17"/>
              </w:rPr>
              <w:t>17.0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250</w:t>
            </w:r>
          </w:p>
        </w:tc>
        <w:tc>
          <w:tcPr>
            <w:tcW w:type="dxa" w:w="1077"/>
          </w:tcPr>
          <w:p>
            <w:r/>
            <w:r>
              <w:rPr>
                <w:rFonts w:ascii="游ゴシック" w:hAnsi="游ゴシック" w:eastAsia="游ゴシック"/>
                <w:sz w:val="17"/>
              </w:rPr>
              <w:t>7.6</w:t>
            </w:r>
          </w:p>
        </w:tc>
        <w:tc>
          <w:tcPr>
            <w:tcW w:type="dxa" w:w="964"/>
          </w:tcPr>
          <w:p>
            <w:r/>
            <w:r>
              <w:rPr>
                <w:rFonts w:ascii="游ゴシック" w:hAnsi="游ゴシック" w:eastAsia="游ゴシック"/>
                <w:sz w:val="17"/>
              </w:rPr>
              <w:t>315</w:t>
            </w:r>
          </w:p>
        </w:tc>
        <w:tc>
          <w:tcPr>
            <w:tcW w:type="dxa" w:w="1077"/>
          </w:tcPr>
          <w:p>
            <w:r/>
            <w:r>
              <w:rPr>
                <w:rFonts w:ascii="游ゴシック" w:hAnsi="游ゴシック" w:eastAsia="游ゴシック"/>
                <w:sz w:val="17"/>
              </w:rPr>
              <w:t>8.6</w:t>
            </w:r>
          </w:p>
        </w:tc>
        <w:tc>
          <w:tcPr>
            <w:tcW w:type="dxa" w:w="964"/>
          </w:tcPr>
          <w:p>
            <w:r/>
            <w:r>
              <w:rPr>
                <w:rFonts w:ascii="游ゴシック" w:hAnsi="游ゴシック" w:eastAsia="游ゴシック"/>
                <w:sz w:val="17"/>
              </w:rPr>
              <w:t>434</w:t>
            </w:r>
          </w:p>
        </w:tc>
        <w:tc>
          <w:tcPr>
            <w:tcW w:type="dxa" w:w="107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72630"/>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472000" cy="3272630"/>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spacing w:after="160"/>
      </w:pPr>
      <w:r>
        <w:rPr>
          <w:rFonts w:ascii="游ゴシック" w:hAnsi="游ゴシック" w:eastAsia="游ゴシック"/>
          <w:b w:val="0"/>
          <w:sz w:val="17"/>
        </w:rPr>
        <w:t>注）第9期計画の人口・高齢化率は住民基本台帳（各年10月1日現在）によるものです。第10期の推計及び地域包括ケア「見える化」システムのデータは国勢調査及び国立社会保障・人口問題研究所推計によるため、同じ令和5年でも総人口で382人、高齢化率で1.1ポイントの差が生じます。第10期では国勢調査・社人研ベースに統一します。また第9期計画の東川町の将来推計は社人研推計を令和22年で18.5％、令和32年で21.5％上回っており、この乖離についても基準変更により解消されます。</w:t>
      </w:r>
    </w:p>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472000" cy="3326570"/>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472000" cy="332657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自然体推計の人口基準9,322人とは時点・入力系列が異なる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spacing w:after="160"/>
      </w:pPr>
      <w:r>
        <w:rPr>
          <w:rFonts w:ascii="游ゴシック" w:hAnsi="游ゴシック" w:eastAsia="游ゴシック"/>
          <w:b w:val="0"/>
          <w:sz w:val="17"/>
        </w:rPr>
        <w:t>注）取得日は令和8年7月22日及び同7月29日。月次値、年度値、年齢調整値は基準時点が異なるため、同一時点の値として合算しません。</w:t>
      </w:r>
    </w:p>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472000" cy="3747804"/>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472000" cy="3747804"/>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472000" cy="3403317"/>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軽度は改善したが中重度は悪化している」という構造が読み取れ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472000" cy="3301094"/>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472000" cy="3301094"/>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注）第9期の必要保険料月額は令和6年度6,063円・令和7年度6,352円で、いずれも条例で定めた基準額6,400円を下回っており、2年間で約42百万円（概算）の剰余が生じている見込みです。第7期は累計で月額159円、第8期は同66円の剰余であり、第9期は第7期に近い水準となります。基金残高及び取崩実績と併せて第6章第6節で確認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給付水準の高さの要因</w:t>
      </w:r>
    </w:p>
    <w:p>
      <w:pPr>
        <w:spacing w:after="80"/>
      </w:pPr>
      <w:r>
        <w:rPr>
          <w:rFonts w:ascii="游ゴシック" w:hAnsi="游ゴシック" w:eastAsia="游ゴシック"/>
          <w:b w:val="0"/>
          <w:sz w:val="21"/>
        </w:rPr>
        <w:t>当広域連合の第1号被保険者1人当たり給付月額は26,885円で、全国及び北海道を上回っています。この差がどこから生じているかを、地域差指数により要因分解すると次のとおりです。</w:t>
      </w:r>
    </w:p>
    <w:p>
      <w:pPr>
        <w:spacing w:before="140" w:after="20"/>
        <w:jc w:val="center"/>
      </w:pPr>
      <w:r>
        <w:drawing>
          <wp:inline xmlns:a="http://schemas.openxmlformats.org/drawingml/2006/main" xmlns:pic="http://schemas.openxmlformats.org/drawingml/2006/picture">
            <wp:extent cx="5472000" cy="3024000"/>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472000" cy="302400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給付水準の高さの主因</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受給率をさらに在宅と施設・居住系に分けると、給付水準の高さが施設・居住系に集中していることがわかります。</w:t>
      </w:r>
    </w:p>
    <w:p>
      <w:pPr>
        <w:spacing w:before="140" w:after="20"/>
        <w:jc w:val="center"/>
      </w:pPr>
      <w:r>
        <w:drawing>
          <wp:inline xmlns:a="http://schemas.openxmlformats.org/drawingml/2006/main" xmlns:pic="http://schemas.openxmlformats.org/drawingml/2006/picture">
            <wp:extent cx="5472000" cy="3403317"/>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地域差指数の受給率1.08を再現する</w:t>
            </w:r>
          </w:p>
        </w:tc>
      </w:tr>
    </w:tbl>
    <w:p>
      <w:pPr>
        <w:spacing w:after="160"/>
      </w:pPr>
      <w:r>
        <w:rPr>
          <w:rFonts w:ascii="游ゴシック" w:hAnsi="游ゴシック" w:eastAsia="游ゴシック"/>
          <w:b w:val="0"/>
          <w:sz w:val="17"/>
        </w:rPr>
        <w:t>注）受給率の分母は第1号被保険者数です。認定者を分母とする介護サービス利用率とは別の比率であり、受給率が全国を上回ることと利用率が低下していること（下記3）は両立します。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472000" cy="239166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472000" cy="239166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472000" cy="3403317"/>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spacing w:after="160"/>
      </w:pPr>
      <w:r>
        <w:rPr>
          <w:rFonts w:ascii="游ゴシック" w:hAnsi="游ゴシック" w:eastAsia="游ゴシック"/>
          <w:b w:val="0"/>
          <w:sz w:val="17"/>
        </w:rPr>
        <w:t>注）利用回数の高さだけで過剰・不適正と判定せず、利用者像、提供時間、生活援助比率、地域の移動制約及び代替サービスの有無を確認します。訪問介護の利用回数が全国の1.87倍である一方、通所介護の受給者単価が全国の0.74倍であることは、通所の供給が薄いことと関連している可能性があります（第3節3）。</w:t>
      </w:r>
    </w:p>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472000" cy="4234049"/>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472000" cy="42340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472000" cy="3802393"/>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472000" cy="380239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spacing w:after="160"/>
      </w:pPr>
      <w:r>
        <w:rPr>
          <w:rFonts w:ascii="游ゴシック" w:hAnsi="游ゴシック" w:eastAsia="游ゴシック"/>
          <w:b w:val="0"/>
          <w:sz w:val="17"/>
        </w:rPr>
        <w:t>注）未利用の要因の判別は、第10期の中心論点です。代理指標として、①認定者のうち居宅サービス計画未作成の者の割合（保険者の統計から算定可能）、②ケアプラン作成時にサービスを確保できなかった件数（居宅介護支援事業所への照会）、③特別養護老人ホームの入所申込者数、の3つを検討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472000" cy="3886551"/>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472000" cy="388655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注）調整済み給付月額・認定率は北海道第9期計画 第7章第12節の分布図及び見える化D8・B6による。圏域の定期巡回・看護小規模多機能は旭川市に集中していると考えられるため、圏域を越えた利用の可否を確認する必要があります（第6章第4節）。</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472000" cy="3436848"/>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472000" cy="343684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注）単位は人口10万対の事業所数（令和6年度）。大雪は実数0のため0.0です。「事業所がないこと」と「給付がないこと」は別です。福祉用具貸与のように、区域内に事業所がなくても区域外の事業所により給付が行われているサービスがあります。一方、定期巡回・夜間対応・看護小規模多機能は給付もほぼゼロであり、サービスそのものが区域内の高齢者に届い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472000" cy="3719181"/>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472000" cy="37191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3.5倍。給付月額＋69.2％と整合する明確な拡大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事業所数も従事者数も減っていない。稼働率の低下による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spacing w:after="160"/>
      </w:pPr>
      <w:r>
        <w:rPr>
          <w:rFonts w:ascii="游ゴシック" w:hAnsi="游ゴシック" w:eastAsia="游ゴシック"/>
          <w:b w:val="0"/>
          <w:sz w:val="17"/>
        </w:rPr>
        <w:t>注）地域密着型通所介護の給付減が稼働率の低下によるものであることは、第10期基本指針案の別表 七が求める「稼働率」の把握が必要となる典型例です。4事業所の定員・登録者数・延べ利用者数の確認を要します。</w:t>
      </w:r>
    </w:p>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472000" cy="3217475"/>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472000" cy="32174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spacing w:after="160"/>
      </w:pPr>
      <w:r>
        <w:rPr>
          <w:rFonts w:ascii="游ゴシック" w:hAnsi="游ゴシック" w:eastAsia="游ゴシック"/>
          <w:b w:val="0"/>
          <w:sz w:val="17"/>
        </w:rPr>
        <w:t>注）通所介護は地域密着型通所介護と合わせても21.6で、全国35.8の0.60にとどまります。受給者単価も全国の0.74倍であり（第2節2）、通所の供給が薄いことは訪問介護の利用強度が全国の1.87倍であることと関連している可能性があります。</w:t>
      </w:r>
    </w:p>
    <w:p>
      <w:pPr>
        <w:pStyle w:val="Heading3"/>
        <w:spacing w:before="180" w:after="100"/>
      </w:pPr>
      <w:r>
        <w:rPr>
          <w:rFonts w:ascii="游ゴシック" w:hAnsi="游ゴシック" w:eastAsia="游ゴシック"/>
          <w:sz w:val="22"/>
        </w:rPr>
        <w:t>4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472000" cy="351142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472000" cy="351142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472000" cy="3545677"/>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472000" cy="35456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spacing w:after="160"/>
      </w:pPr>
      <w:r>
        <w:rPr>
          <w:rFonts w:ascii="游ゴシック" w:hAnsi="游ゴシック" w:eastAsia="游ゴシック"/>
          <w:b w:val="0"/>
          <w:sz w:val="17"/>
        </w:rPr>
        <w:t>注）介護人材の必要数は見える化システムに当広域連合のデータ登録がないため、職種別欠員率は算定できません。第10期のH13は、職種別従事者数（認定者1万対）の推移へ定義を改めます（第4章第3節）。</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472000" cy="3872000"/>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472000" cy="3872000"/>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472000" cy="3330038"/>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472000" cy="3330038"/>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spacing w:after="160"/>
      </w:pPr>
      <w:r>
        <w:rPr>
          <w:rFonts w:ascii="游ゴシック" w:hAnsi="游ゴシック" w:eastAsia="游ゴシック"/>
          <w:b w:val="0"/>
          <w:sz w:val="17"/>
        </w:rPr>
        <w:t>注1）フレイル該当割合の令和元年度22.4％から令和4年度18.5％への3.9ポイントの低下は、調査環境の変化を含む可能性があります。第10期の目標設定では基準値の信頼区間を併記し、「有意な改善」又は「水準の維持」で設定します。注2）社会参加6区分の合成指標は当広域連合独自の定義であり、他地域と比較できません。第10期のH05では、通いの場単独の系列も併記します。</w:t>
      </w:r>
    </w:p>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【重度者の在宅化】</w:t>
      </w:r>
    </w:p>
    <w:p>
      <w:pPr>
        <w:spacing w:after="80"/>
      </w:pPr>
      <w:r>
        <w:rPr>
          <w:rFonts w:ascii="游ゴシック" w:hAnsi="游ゴシック" w:eastAsia="游ゴシック"/>
          <w:b w:val="0"/>
          <w:sz w:val="20"/>
        </w:rPr>
        <w:t>要介護度別に在宅・居住系の割合をみると、重度者ほど在宅化が進んでいます。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spacing w:after="160"/>
      </w:pPr>
      <w:r>
        <w:rPr>
          <w:rFonts w:ascii="游ゴシック" w:hAnsi="游ゴシック" w:eastAsia="游ゴシック"/>
          <w:b w:val="0"/>
          <w:sz w:val="17"/>
        </w:rPr>
        <w:t>注）事業所実態調査は本計画の策定業務の対象調査に含まれていません。このため、H12（必要サービス未充足率）及びH16（災害・感染症時の必須サービス継続率）のデータ源については、代理指標への振替えを含めて第1回委員会で確認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認定率は、粗率・年齢階級別・性年齢調整済み中重度率で方向が異なります。軽度は改善しているが中重度は悪化しているという構造を踏まえて評価します。</w:t>
      </w:r>
    </w:p>
    <w:p>
      <w:pPr>
        <w:pStyle w:val="ListBullet"/>
        <w:spacing w:after="40"/>
      </w:pPr>
      <w:r>
        <w:rPr>
          <w:rFonts w:ascii="游ゴシック" w:hAnsi="游ゴシック" w:eastAsia="游ゴシック"/>
          <w:sz w:val="20"/>
        </w:rPr>
        <w:t>給付水準の高さは認定率ではなく、施設・居住系の受給率と訪問介護の利用強度に由来します。</w:t>
      </w:r>
    </w:p>
    <w:p>
      <w:pPr>
        <w:pStyle w:val="ListBullet"/>
        <w:spacing w:after="40"/>
      </w:pPr>
      <w:r>
        <w:rPr>
          <w:rFonts w:ascii="游ゴシック" w:hAnsi="游ゴシック" w:eastAsia="游ゴシック"/>
          <w:sz w:val="20"/>
        </w:rPr>
        <w:t>重度者の在宅化と施設・居住系の定員縮小が同時に進んでいます。一方で24時間対応サービスは区域内に存在しません。</w:t>
      </w:r>
    </w:p>
    <w:p>
      <w:pPr>
        <w:pStyle w:val="ListBullet"/>
        <w:spacing w:after="40"/>
      </w:pPr>
      <w:r>
        <w:rPr>
          <w:rFonts w:ascii="游ゴシック" w:hAnsi="游ゴシック" w:eastAsia="游ゴシック"/>
          <w:sz w:val="20"/>
        </w:rPr>
        <w:t>認定者の25.7％（504人）がサービスを利用していません。需要の減少か供給の制約かの判別が第10期の中心論点です。</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472000" cy="329324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472000" cy="32932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3146631"/>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472000" cy="314663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361"/>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928"/>
          </w:tcPr>
          <w:p>
            <w:r/>
            <w:r>
              <w:rPr>
                <w:rFonts w:ascii="游ゴシック" w:hAnsi="游ゴシック" w:eastAsia="游ゴシック"/>
                <w:b/>
                <w:sz w:val="17"/>
              </w:rPr>
              <w:t>第1号被保険者</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361"/>
          </w:tcPr>
          <w:p>
            <w:r/>
            <w:r>
              <w:rPr>
                <w:rFonts w:ascii="游ゴシック" w:hAnsi="游ゴシック" w:eastAsia="游ゴシック"/>
                <w:sz w:val="17"/>
              </w:rPr>
              <w:t>R9</w:t>
            </w:r>
          </w:p>
        </w:tc>
        <w:tc>
          <w:tcPr>
            <w:tcW w:type="dxa" w:w="1701"/>
          </w:tcPr>
          <w:p>
            <w:r/>
            <w:r>
              <w:rPr>
                <w:rFonts w:ascii="游ゴシック" w:hAnsi="游ゴシック" w:eastAsia="游ゴシック"/>
                <w:sz w:val="17"/>
              </w:rPr>
              <w:t>26,649</w:t>
            </w:r>
          </w:p>
        </w:tc>
        <w:tc>
          <w:tcPr>
            <w:tcW w:type="dxa" w:w="1928"/>
          </w:tcPr>
          <w:p>
            <w:r/>
            <w:r>
              <w:rPr>
                <w:rFonts w:ascii="游ゴシック" w:hAnsi="游ゴシック" w:eastAsia="游ゴシック"/>
                <w:sz w:val="17"/>
              </w:rPr>
              <w:t>9,319</w:t>
            </w:r>
          </w:p>
        </w:tc>
        <w:tc>
          <w:tcPr>
            <w:tcW w:type="dxa" w:w="1587"/>
          </w:tcPr>
          <w:p>
            <w:r/>
            <w:r>
              <w:rPr>
                <w:rFonts w:ascii="游ゴシック" w:hAnsi="游ゴシック" w:eastAsia="游ゴシック"/>
                <w:sz w:val="17"/>
              </w:rPr>
              <w:t>2,212</w:t>
            </w:r>
          </w:p>
        </w:tc>
        <w:tc>
          <w:tcPr>
            <w:tcW w:type="dxa" w:w="1587"/>
          </w:tcPr>
          <w:p>
            <w:r/>
            <w:r>
              <w:rPr>
                <w:rFonts w:ascii="游ゴシック" w:hAnsi="游ゴシック" w:eastAsia="游ゴシック"/>
                <w:sz w:val="17"/>
              </w:rPr>
              <w:t>1,960</w:t>
            </w:r>
          </w:p>
        </w:tc>
        <w:tc>
          <w:tcPr>
            <w:tcW w:type="dxa" w:w="1928"/>
          </w:tcPr>
          <w:p>
            <w:r/>
            <w:r>
              <w:rPr>
                <w:rFonts w:ascii="游ゴシック" w:hAnsi="游ゴシック" w:eastAsia="游ゴシック"/>
                <w:sz w:val="17"/>
              </w:rPr>
              <w:t>30.57億円</w:t>
            </w:r>
          </w:p>
        </w:tc>
      </w:tr>
      <w:tr>
        <w:tc>
          <w:tcPr>
            <w:tcW w:type="dxa" w:w="1361"/>
          </w:tcPr>
          <w:p>
            <w:r/>
            <w:r>
              <w:rPr>
                <w:rFonts w:ascii="游ゴシック" w:hAnsi="游ゴシック" w:eastAsia="游ゴシック"/>
                <w:sz w:val="17"/>
              </w:rPr>
              <w:t>R11</w:t>
            </w:r>
          </w:p>
        </w:tc>
        <w:tc>
          <w:tcPr>
            <w:tcW w:type="dxa" w:w="1701"/>
          </w:tcPr>
          <w:p>
            <w:r/>
            <w:r>
              <w:rPr>
                <w:rFonts w:ascii="游ゴシック" w:hAnsi="游ゴシック" w:eastAsia="游ゴシック"/>
                <w:sz w:val="17"/>
              </w:rPr>
              <w:t>26,195</w:t>
            </w:r>
          </w:p>
        </w:tc>
        <w:tc>
          <w:tcPr>
            <w:tcW w:type="dxa" w:w="1928"/>
          </w:tcPr>
          <w:p>
            <w:r/>
            <w:r>
              <w:rPr>
                <w:rFonts w:ascii="游ゴシック" w:hAnsi="游ゴシック" w:eastAsia="游ゴシック"/>
                <w:sz w:val="17"/>
              </w:rPr>
              <w:t>9,311</w:t>
            </w:r>
          </w:p>
        </w:tc>
        <w:tc>
          <w:tcPr>
            <w:tcW w:type="dxa" w:w="1587"/>
          </w:tcPr>
          <w:p>
            <w:r/>
            <w:r>
              <w:rPr>
                <w:rFonts w:ascii="游ゴシック" w:hAnsi="游ゴシック" w:eastAsia="游ゴシック"/>
                <w:sz w:val="17"/>
              </w:rPr>
              <w:t>2,256</w:t>
            </w:r>
          </w:p>
        </w:tc>
        <w:tc>
          <w:tcPr>
            <w:tcW w:type="dxa" w:w="1587"/>
          </w:tcPr>
          <w:p>
            <w:r/>
            <w:r>
              <w:rPr>
                <w:rFonts w:ascii="游ゴシック" w:hAnsi="游ゴシック" w:eastAsia="游ゴシック"/>
                <w:sz w:val="17"/>
              </w:rPr>
              <w:t>1,993</w:t>
            </w:r>
          </w:p>
        </w:tc>
        <w:tc>
          <w:tcPr>
            <w:tcW w:type="dxa" w:w="1928"/>
          </w:tcPr>
          <w:p>
            <w:r/>
            <w:r>
              <w:rPr>
                <w:rFonts w:ascii="游ゴシック" w:hAnsi="游ゴシック" w:eastAsia="游ゴシック"/>
                <w:sz w:val="17"/>
              </w:rPr>
              <w:t>31.21億円</w:t>
            </w:r>
          </w:p>
        </w:tc>
      </w:tr>
      <w:tr>
        <w:tc>
          <w:tcPr>
            <w:tcW w:type="dxa" w:w="1361"/>
          </w:tcPr>
          <w:p>
            <w:r/>
            <w:r>
              <w:rPr>
                <w:rFonts w:ascii="游ゴシック" w:hAnsi="游ゴシック" w:eastAsia="游ゴシック"/>
                <w:sz w:val="17"/>
              </w:rPr>
              <w:t>R17</w:t>
            </w:r>
          </w:p>
        </w:tc>
        <w:tc>
          <w:tcPr>
            <w:tcW w:type="dxa" w:w="1701"/>
          </w:tcPr>
          <w:p>
            <w:r/>
            <w:r>
              <w:rPr>
                <w:rFonts w:ascii="游ゴシック" w:hAnsi="游ゴシック" w:eastAsia="游ゴシック"/>
                <w:sz w:val="17"/>
              </w:rPr>
              <w:t>24,778</w:t>
            </w:r>
          </w:p>
        </w:tc>
        <w:tc>
          <w:tcPr>
            <w:tcW w:type="dxa" w:w="1928"/>
          </w:tcPr>
          <w:p>
            <w:r/>
            <w:r>
              <w:rPr>
                <w:rFonts w:ascii="游ゴシック" w:hAnsi="游ゴシック" w:eastAsia="游ゴシック"/>
                <w:sz w:val="17"/>
              </w:rPr>
              <w:t>9,378</w:t>
            </w:r>
          </w:p>
        </w:tc>
        <w:tc>
          <w:tcPr>
            <w:tcW w:type="dxa" w:w="1587"/>
          </w:tcPr>
          <w:p>
            <w:r/>
            <w:r>
              <w:rPr>
                <w:rFonts w:ascii="游ゴシック" w:hAnsi="游ゴシック" w:eastAsia="游ゴシック"/>
                <w:sz w:val="17"/>
              </w:rPr>
              <w:t>2,673</w:t>
            </w:r>
          </w:p>
        </w:tc>
        <w:tc>
          <w:tcPr>
            <w:tcW w:type="dxa" w:w="1587"/>
          </w:tcPr>
          <w:p>
            <w:r/>
            <w:r>
              <w:rPr>
                <w:rFonts w:ascii="游ゴシック" w:hAnsi="游ゴシック" w:eastAsia="游ゴシック"/>
                <w:sz w:val="17"/>
              </w:rPr>
              <w:t>2,125</w:t>
            </w:r>
          </w:p>
        </w:tc>
        <w:tc>
          <w:tcPr>
            <w:tcW w:type="dxa" w:w="1928"/>
          </w:tcPr>
          <w:p>
            <w:r/>
            <w:r>
              <w:rPr>
                <w:rFonts w:ascii="游ゴシック" w:hAnsi="游ゴシック" w:eastAsia="游ゴシック"/>
                <w:sz w:val="17"/>
              </w:rPr>
              <w:t>33.42億円</w:t>
            </w:r>
          </w:p>
        </w:tc>
      </w:tr>
      <w:tr>
        <w:tc>
          <w:tcPr>
            <w:tcW w:type="dxa" w:w="1361"/>
          </w:tcPr>
          <w:p>
            <w:r/>
            <w:r>
              <w:rPr>
                <w:rFonts w:ascii="游ゴシック" w:hAnsi="游ゴシック" w:eastAsia="游ゴシック"/>
                <w:sz w:val="17"/>
              </w:rPr>
              <w:t>R22</w:t>
            </w:r>
          </w:p>
        </w:tc>
        <w:tc>
          <w:tcPr>
            <w:tcW w:type="dxa" w:w="1701"/>
          </w:tcPr>
          <w:p>
            <w:r/>
            <w:r>
              <w:rPr>
                <w:rFonts w:ascii="游ゴシック" w:hAnsi="游ゴシック" w:eastAsia="游ゴシック"/>
                <w:sz w:val="17"/>
              </w:rPr>
              <w:t>23,582</w:t>
            </w:r>
          </w:p>
        </w:tc>
        <w:tc>
          <w:tcPr>
            <w:tcW w:type="dxa" w:w="1928"/>
          </w:tcPr>
          <w:p>
            <w:r/>
            <w:r>
              <w:rPr>
                <w:rFonts w:ascii="游ゴシック" w:hAnsi="游ゴシック" w:eastAsia="游ゴシック"/>
                <w:sz w:val="17"/>
              </w:rPr>
              <w:t>9,633</w:t>
            </w:r>
          </w:p>
        </w:tc>
        <w:tc>
          <w:tcPr>
            <w:tcW w:type="dxa" w:w="1587"/>
          </w:tcPr>
          <w:p>
            <w:r/>
            <w:r>
              <w:rPr>
                <w:rFonts w:ascii="游ゴシック" w:hAnsi="游ゴシック" w:eastAsia="游ゴシック"/>
                <w:sz w:val="17"/>
              </w:rPr>
              <w:t>2,810</w:t>
            </w:r>
          </w:p>
        </w:tc>
        <w:tc>
          <w:tcPr>
            <w:tcW w:type="dxa" w:w="1587"/>
          </w:tcPr>
          <w:p>
            <w:r/>
            <w:r>
              <w:rPr>
                <w:rFonts w:ascii="游ゴシック" w:hAnsi="游ゴシック" w:eastAsia="游ゴシック"/>
                <w:sz w:val="17"/>
              </w:rPr>
              <w:t>2,193</w:t>
            </w:r>
          </w:p>
        </w:tc>
        <w:tc>
          <w:tcPr>
            <w:tcW w:type="dxa" w:w="1928"/>
          </w:tcPr>
          <w:p>
            <w:r/>
            <w:r>
              <w:rPr>
                <w:rFonts w:ascii="游ゴシック" w:hAnsi="游ゴシック" w:eastAsia="游ゴシック"/>
                <w:sz w:val="17"/>
              </w:rPr>
              <w:t>34.93億円</w:t>
            </w:r>
          </w:p>
        </w:tc>
      </w:tr>
      <w:tr>
        <w:tc>
          <w:tcPr>
            <w:tcW w:type="dxa" w:w="1361"/>
          </w:tcPr>
          <w:p>
            <w:r/>
            <w:r>
              <w:rPr>
                <w:rFonts w:ascii="游ゴシック" w:hAnsi="游ゴシック" w:eastAsia="游ゴシック"/>
                <w:sz w:val="17"/>
              </w:rPr>
              <w:t>R32</w:t>
            </w:r>
          </w:p>
        </w:tc>
        <w:tc>
          <w:tcPr>
            <w:tcW w:type="dxa" w:w="1701"/>
          </w:tcPr>
          <w:p>
            <w:r/>
            <w:r>
              <w:rPr>
                <w:rFonts w:ascii="游ゴシック" w:hAnsi="游ゴシック" w:eastAsia="游ゴシック"/>
                <w:sz w:val="17"/>
              </w:rPr>
              <w:t>21,058</w:t>
            </w:r>
          </w:p>
        </w:tc>
        <w:tc>
          <w:tcPr>
            <w:tcW w:type="dxa" w:w="1928"/>
          </w:tcPr>
          <w:p>
            <w:r/>
            <w:r>
              <w:rPr>
                <w:rFonts w:ascii="游ゴシック" w:hAnsi="游ゴシック" w:eastAsia="游ゴシック"/>
                <w:sz w:val="17"/>
              </w:rPr>
              <w:t>9,239</w:t>
            </w:r>
          </w:p>
        </w:tc>
        <w:tc>
          <w:tcPr>
            <w:tcW w:type="dxa" w:w="1587"/>
          </w:tcPr>
          <w:p>
            <w:r/>
            <w:r>
              <w:rPr>
                <w:rFonts w:ascii="游ゴシック" w:hAnsi="游ゴシック" w:eastAsia="游ゴシック"/>
                <w:sz w:val="17"/>
              </w:rPr>
              <w:t>2,534</w:t>
            </w:r>
          </w:p>
        </w:tc>
        <w:tc>
          <w:tcPr>
            <w:tcW w:type="dxa" w:w="1587"/>
          </w:tcPr>
          <w:p>
            <w:r/>
            <w:r>
              <w:rPr>
                <w:rFonts w:ascii="游ゴシック" w:hAnsi="游ゴシック" w:eastAsia="游ゴシック"/>
                <w:sz w:val="17"/>
              </w:rPr>
              <w:t>2,107</w:t>
            </w:r>
          </w:p>
        </w:tc>
        <w:tc>
          <w:tcPr>
            <w:tcW w:type="dxa" w:w="1928"/>
          </w:tcPr>
          <w:p>
            <w:r/>
            <w:r>
              <w:rPr>
                <w:rFonts w:ascii="游ゴシック" w:hAnsi="游ゴシック" w:eastAsia="游ゴシック"/>
                <w:sz w:val="17"/>
              </w:rPr>
              <w:t>33.15億円</w:t>
            </w:r>
          </w:p>
        </w:tc>
      </w:tr>
    </w:tbl>
    <w:p>
      <w:pPr>
        <w:spacing w:after="160"/>
      </w:pPr>
      <w:r>
        <w:rPr>
          <w:rFonts w:ascii="游ゴシック" w:hAnsi="游ゴシック" w:eastAsia="游ゴシック"/>
          <w:b w:val="0"/>
          <w:sz w:val="17"/>
        </w:rPr>
        <w:t>注）施設・居住系の一部には現行供給条件の固定が含まれます。事業所実態調査と待機・受入不可・町外利用を用いて、需要量と供給可能量を分離して補正します。第1号被保険者数が概ね横ばいであっても85歳以上人口が令和9年度比で約27％増加するため、総給付費は令和22年度に約14.3％増加する見込みです。</w:t>
      </w:r>
    </w:p>
    <w:p>
      <w:r>
        <w:br w:type="page"/>
      </w:r>
    </w:p>
    <w:p>
      <w:pPr>
        <w:pStyle w:val="Heading1"/>
        <w:spacing w:before="240" w:after="100"/>
      </w:pPr>
      <w:r>
        <w:rPr>
          <w:rFonts w:ascii="游ゴシック" w:hAnsi="游ゴシック" w:eastAsia="游ゴシック"/>
          <w:sz w:val="30"/>
        </w:rPr>
        <w:t>第3章　第9期計画の実施状況と評価</w:t>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472000" cy="332163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472000" cy="332163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spacing w:after="160"/>
      </w:pPr>
      <w:r>
        <w:rPr>
          <w:rFonts w:ascii="游ゴシック" w:hAnsi="游ゴシック" w:eastAsia="游ゴシック"/>
          <w:b w:val="0"/>
          <w:sz w:val="17"/>
        </w:rPr>
        <w:t>注1）第9期計画の代表KPI①の目標は「令和5年度の実績を維持」であり、認定率の引下げを目標としたものではありません。注2）代表KPI②の率は改善していますが、要介護3～5の実数は増加しています。率の改善は分母（第1号被保険者数）の動きにも依存するため、第10期では実数と率を併記します。注3）代表KPI③の目標は令和元年度22.4％から令和4年度18.5％への低下を参考に設定されましたが、2時点の外挿であり、そこから更に低下を見込む根拠は薄いと考えられます。未達ではあるものの、実態が悪化したとは言えません。</w:t>
      </w:r>
    </w:p>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472000" cy="3430706"/>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472000" cy="3430706"/>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472000" cy="292149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472000" cy="2921491"/>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spacing w:after="160"/>
      </w:pPr>
      <w:r>
        <w:rPr>
          <w:rFonts w:ascii="游ゴシック" w:hAnsi="游ゴシック" w:eastAsia="游ゴシック"/>
          <w:b w:val="0"/>
          <w:sz w:val="17"/>
        </w:rPr>
        <w:t>注）総合事業ベースのデータは令和2年度までで、令和3年度以降は見える化システムに登録がありません。第10期の基準値は令和2年度（月1回以上1.6％・週1回以上0.7％・3箇所）とします。当広域連合が国へ報告した令和3～6年度の調査票の写しが得られる場合は、基準値を更新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spacing w:after="160"/>
      </w:pPr>
      <w:r>
        <w:rPr>
          <w:rFonts w:ascii="游ゴシック" w:hAnsi="游ゴシック" w:eastAsia="游ゴシック"/>
          <w:b w:val="0"/>
          <w:sz w:val="17"/>
        </w:rPr>
        <w:t>注）本章の施策評価は、計画上の目的・施策・指標のつながりを確認する構造評価です。令和6～8年度の事業実績が未受領のため、施策単位の達成・未達の成果評価は実績受領後に同一定義で再判定し、委員会へ提示します。代表KPI4項目については、令和8年3月末実績及び令和7年度調査結果により上記1のとおり評価しました。</w:t>
      </w:r>
    </w:p>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472000" cy="3591928"/>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472000" cy="3591928"/>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spacing w:after="160"/>
      </w:pPr>
      <w:r>
        <w:rPr>
          <w:rFonts w:ascii="游ゴシック" w:hAnsi="游ゴシック" w:eastAsia="游ゴシック"/>
          <w:b w:val="0"/>
          <w:sz w:val="17"/>
        </w:rPr>
        <w:t>注）令和5年（2023年）調査＝令和6年度分の指標。交付金の交付額は得点に応じて配分されるため、この差はそのまま財源の差となります。</w:t>
      </w:r>
    </w:p>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472000" cy="3288636"/>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472000" cy="3288636"/>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472000" cy="241061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472000" cy="241061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北海道の評価指標②と整合する強み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北海道の評価指標①と整合する強み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spacing w:after="160"/>
      </w:pPr>
      <w:r>
        <w:rPr>
          <w:rFonts w:ascii="游ゴシック" w:hAnsi="游ゴシック" w:eastAsia="游ゴシック"/>
          <w:b w:val="0"/>
          <w:sz w:val="17"/>
        </w:rPr>
        <w:t>注）受領したのは総合得点・目標別・指標群別と目標Ⅰ～Ⅳの内訳です。0点となっている項目については、取組自体を行っていないのか、取組はあるが要件を満たさないのかを、評価調書と突合して確認します。</w:t>
      </w:r>
    </w:p>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3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472000" cy="1988545"/>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472000" cy="1988545"/>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160"/>
      </w:pPr>
      <w:r>
        <w:rPr>
          <w:rFonts w:ascii="游ゴシック" w:hAnsi="游ゴシック" w:eastAsia="游ゴシック"/>
          <w:b w:val="0"/>
          <w:sz w:val="17"/>
        </w:rPr>
        <w:t>注）W144の値は、当広域連合が全国を2.9％上回り、かつ全国・北海道が低下する中で当広域連合のみ上昇しています（変化率＋1.76）。このため目標は「水準の維持」ではなく「全国平均以下への低下」とします。B5-aは補完指標として資料1に残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pPr>
        <w:spacing w:after="160"/>
      </w:pPr>
      <w:r>
        <w:rPr>
          <w:rFonts w:ascii="游ゴシック" w:hAnsi="游ゴシック" w:eastAsia="游ゴシック"/>
          <w:b w:val="0"/>
          <w:sz w:val="17"/>
        </w:rPr>
        <w:t>目標値は、第9期実績、健康とくらしの調査、在宅生活改善調査、居所変更実態調査及び2029年・2040年推計を確認して設定します。認定率や利用率は一律に低下を目標とせず、適正水準と要因を評価します。［要協議］としている目標値は、第1回委員会での決定事項で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spacing w:after="160"/>
      </w:pPr>
      <w:r>
        <w:rPr>
          <w:rFonts w:ascii="游ゴシック" w:hAnsi="游ゴシック" w:eastAsia="游ゴシック"/>
          <w:b w:val="0"/>
          <w:sz w:val="17"/>
        </w:rPr>
        <w:t>注）診療報酬側の連携指標（介護支援連携指導、退院時共同指導等）は見える化システムに当広域連合のデータ登録がなく取得できません。医療側からの連携の実施状況は、上川中部圏域の医療機関への照会又は北海道の医療計画・地域医療構想の資料で補い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spacing w:after="160"/>
      </w:pPr>
      <w:r>
        <w:rPr>
          <w:rFonts w:ascii="游ゴシック" w:hAnsi="游ゴシック" w:eastAsia="游ゴシック"/>
          <w:b w:val="0"/>
          <w:sz w:val="17"/>
        </w:rPr>
        <w:t>注）見える化システムの認知症関連指標（認知症初期集中支援チームの訪問実績、認知症地域支援推進員の配置人数、認知症カフェの箇所数等）は当広域連合のデータ登録がなく取得できません。3町への直接照会により実績を把握し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在宅介護実態調査が業務範囲外</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第6章第4節と一体。第1回委員会の決定事項</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介護サービス自給率の把握：国民健康保険団体連合会の給付実績情報と指定事業所台帳の突合により、区域内の事業所による給付の割合を算定</w:t>
            </w:r>
          </w:p>
        </w:tc>
        <w:tc>
          <w:tcPr>
            <w:tcW w:type="dxa" w:w="3061"/>
          </w:tcPr>
          <w:p>
            <w:r/>
            <w:r>
              <w:rPr>
                <w:rFonts w:ascii="游ゴシック" w:hAnsi="游ゴシック" w:eastAsia="游ゴシック"/>
                <w:sz w:val="17"/>
              </w:rPr>
              <w:t>サービス区分別の自給率の算定（R9年度から年1回）</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事業所実態調査が業務範囲外</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第1回委員会の決定事項</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spacing w:after="160"/>
      </w:pPr>
      <w:r>
        <w:rPr>
          <w:rFonts w:ascii="游ゴシック" w:hAnsi="游ゴシック" w:eastAsia="游ゴシック"/>
          <w:b w:val="0"/>
          <w:sz w:val="17"/>
        </w:rPr>
        <w:t>注1）令和2年度は「介護サービス施設・事業所調査」が実施されなかったため欠測です。注2）介護人材の必要数は見える化システムに当広域連合のデータ登録がないため、職種別欠員率は算定できません。注3）北海道の第9期評価指標⑥は「採用率と離職率の差 1.0％（R3）→全国平均以上」及び「介護従事者数 100,523人（R4）→113,701人以上」です。前者は第9期の介護人材実態調査の採用者数・退職者数から当広域連合についても算定できます。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7期は累計で月額159円、第8期は同66円の剰余であり、第9期は第7期に近い水準となりま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注）住宅改修及び福祉用具の点検は、令和8年7月8日公表の「介護給付適正化における住宅改修等の点検および福祉用具購入・貸与調査の取組促進について」（介護保険最新情報Vol.1521）の手引き第二版を参照し、地域の判断基準、多職種連携、保険者間の相談体制を整備します。</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最新の人口実績、国立社会保障・人口問題研究所推計及び地域包括ケア『見える化』システム等を用い、3町別・年齢階級別人口、被保険者、認定者及び認定率を推計します。第10期の各年度に加え、令和17（2035）年度及び令和22（2040）年度を基準時点として示し、85歳以上人口と認定者数のピーク時期を確認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R8基準値</w:t>
            </w:r>
          </w:p>
        </w:tc>
        <w:tc>
          <w:tcPr>
            <w:tcW w:type="dxa" w:w="1361"/>
          </w:tcPr>
          <w:p>
            <w:r/>
            <w:r>
              <w:rPr>
                <w:rFonts w:ascii="游ゴシック" w:hAnsi="游ゴシック" w:eastAsia="游ゴシック"/>
                <w:b/>
                <w:sz w:val="17"/>
              </w:rPr>
              <w:t>R9</w:t>
            </w:r>
          </w:p>
        </w:tc>
        <w:tc>
          <w:tcPr>
            <w:tcW w:type="dxa" w:w="1361"/>
          </w:tcPr>
          <w:p>
            <w:r/>
            <w:r>
              <w:rPr>
                <w:rFonts w:ascii="游ゴシック" w:hAnsi="游ゴシック" w:eastAsia="游ゴシック"/>
                <w:b/>
                <w:sz w:val="17"/>
              </w:rPr>
              <w:t>R10</w:t>
            </w:r>
          </w:p>
        </w:tc>
        <w:tc>
          <w:tcPr>
            <w:tcW w:type="dxa" w:w="1361"/>
          </w:tcPr>
          <w:p>
            <w:r/>
            <w:r>
              <w:rPr>
                <w:rFonts w:ascii="游ゴシック" w:hAnsi="游ゴシック" w:eastAsia="游ゴシック"/>
                <w:b/>
                <w:sz w:val="17"/>
              </w:rPr>
              <w:t>R11</w:t>
            </w:r>
          </w:p>
        </w:tc>
        <w:tc>
          <w:tcPr>
            <w:tcW w:type="dxa" w:w="1361"/>
          </w:tcPr>
          <w:p>
            <w:r/>
            <w:r>
              <w:rPr>
                <w:rFonts w:ascii="游ゴシック" w:hAnsi="游ゴシック" w:eastAsia="游ゴシック"/>
                <w:b/>
                <w:sz w:val="17"/>
              </w:rPr>
              <w:t>R17</w:t>
            </w:r>
          </w:p>
        </w:tc>
        <w:tc>
          <w:tcPr>
            <w:tcW w:type="dxa" w:w="1361"/>
          </w:tcPr>
          <w:p>
            <w:r/>
            <w:r>
              <w:rPr>
                <w:rFonts w:ascii="游ゴシック" w:hAnsi="游ゴシック" w:eastAsia="游ゴシック"/>
                <w:b/>
                <w:sz w:val="17"/>
              </w:rPr>
              <w:t>R22</w:t>
            </w:r>
          </w:p>
        </w:tc>
      </w:tr>
      <w:tr>
        <w:tc>
          <w:tcPr>
            <w:tcW w:type="dxa" w:w="1928"/>
          </w:tcPr>
          <w:p>
            <w:r/>
            <w:r>
              <w:rPr>
                <w:rFonts w:ascii="游ゴシック" w:hAnsi="游ゴシック" w:eastAsia="游ゴシック"/>
                <w:sz w:val="17"/>
              </w:rPr>
              <w:t>総人口</w:t>
            </w:r>
          </w:p>
        </w:tc>
        <w:tc>
          <w:tcPr>
            <w:tcW w:type="dxa" w:w="1474"/>
          </w:tcPr>
          <w:p>
            <w:r/>
            <w:r>
              <w:rPr>
                <w:rFonts w:ascii="游ゴシック" w:hAnsi="游ゴシック" w:eastAsia="游ゴシック"/>
                <w:sz w:val="17"/>
              </w:rPr>
              <w:t>26,876</w:t>
            </w:r>
          </w:p>
        </w:tc>
        <w:tc>
          <w:tcPr>
            <w:tcW w:type="dxa" w:w="1361"/>
          </w:tcPr>
          <w:p>
            <w:r/>
            <w:r>
              <w:rPr>
                <w:rFonts w:ascii="游ゴシック" w:hAnsi="游ゴシック" w:eastAsia="游ゴシック"/>
                <w:sz w:val="17"/>
              </w:rPr>
              <w:t>26,649</w:t>
            </w:r>
          </w:p>
        </w:tc>
        <w:tc>
          <w:tcPr>
            <w:tcW w:type="dxa" w:w="1361"/>
          </w:tcPr>
          <w:p>
            <w:r/>
            <w:r>
              <w:rPr>
                <w:rFonts w:ascii="游ゴシック" w:hAnsi="游ゴシック" w:eastAsia="游ゴシック"/>
                <w:sz w:val="17"/>
              </w:rPr>
              <w:t>26,422</w:t>
            </w:r>
          </w:p>
        </w:tc>
        <w:tc>
          <w:tcPr>
            <w:tcW w:type="dxa" w:w="1361"/>
          </w:tcPr>
          <w:p>
            <w:r/>
            <w:r>
              <w:rPr>
                <w:rFonts w:ascii="游ゴシック" w:hAnsi="游ゴシック" w:eastAsia="游ゴシック"/>
                <w:sz w:val="17"/>
              </w:rPr>
              <w:t>26,195</w:t>
            </w:r>
          </w:p>
        </w:tc>
        <w:tc>
          <w:tcPr>
            <w:tcW w:type="dxa" w:w="1361"/>
          </w:tcPr>
          <w:p>
            <w:r/>
            <w:r>
              <w:rPr>
                <w:rFonts w:ascii="游ゴシック" w:hAnsi="游ゴシック" w:eastAsia="游ゴシック"/>
                <w:sz w:val="17"/>
              </w:rPr>
              <w:t>24,778</w:t>
            </w:r>
          </w:p>
        </w:tc>
        <w:tc>
          <w:tcPr>
            <w:tcW w:type="dxa" w:w="1361"/>
          </w:tcPr>
          <w:p>
            <w:r/>
            <w:r>
              <w:rPr>
                <w:rFonts w:ascii="游ゴシック" w:hAnsi="游ゴシック" w:eastAsia="游ゴシック"/>
                <w:sz w:val="17"/>
              </w:rPr>
              <w:t>23,582</w:t>
            </w:r>
          </w:p>
        </w:tc>
      </w:tr>
      <w:tr>
        <w:tc>
          <w:tcPr>
            <w:tcW w:type="dxa" w:w="1928"/>
          </w:tcPr>
          <w:p>
            <w:r/>
            <w:r>
              <w:rPr>
                <w:rFonts w:ascii="游ゴシック" w:hAnsi="游ゴシック" w:eastAsia="游ゴシック"/>
                <w:sz w:val="17"/>
              </w:rPr>
              <w:t>65歳以上</w:t>
            </w:r>
          </w:p>
        </w:tc>
        <w:tc>
          <w:tcPr>
            <w:tcW w:type="dxa" w:w="1474"/>
          </w:tcPr>
          <w:p>
            <w:r/>
            <w:r>
              <w:rPr>
                <w:rFonts w:ascii="游ゴシック" w:hAnsi="游ゴシック" w:eastAsia="游ゴシック"/>
                <w:sz w:val="17"/>
              </w:rPr>
              <w:t>9,322</w:t>
            </w:r>
          </w:p>
        </w:tc>
        <w:tc>
          <w:tcPr>
            <w:tcW w:type="dxa" w:w="1361"/>
          </w:tcPr>
          <w:p>
            <w:r/>
            <w:r>
              <w:rPr>
                <w:rFonts w:ascii="游ゴシック" w:hAnsi="游ゴシック" w:eastAsia="游ゴシック"/>
                <w:sz w:val="17"/>
              </w:rPr>
              <w:t>9,319</w:t>
            </w:r>
          </w:p>
        </w:tc>
        <w:tc>
          <w:tcPr>
            <w:tcW w:type="dxa" w:w="1361"/>
          </w:tcPr>
          <w:p>
            <w:r/>
            <w:r>
              <w:rPr>
                <w:rFonts w:ascii="游ゴシック" w:hAnsi="游ゴシック" w:eastAsia="游ゴシック"/>
                <w:sz w:val="17"/>
              </w:rPr>
              <w:t>9,314</w:t>
            </w:r>
          </w:p>
        </w:tc>
        <w:tc>
          <w:tcPr>
            <w:tcW w:type="dxa" w:w="1361"/>
          </w:tcPr>
          <w:p>
            <w:r/>
            <w:r>
              <w:rPr>
                <w:rFonts w:ascii="游ゴシック" w:hAnsi="游ゴシック" w:eastAsia="游ゴシック"/>
                <w:sz w:val="17"/>
              </w:rPr>
              <w:t>9,311</w:t>
            </w:r>
          </w:p>
        </w:tc>
        <w:tc>
          <w:tcPr>
            <w:tcW w:type="dxa" w:w="1361"/>
          </w:tcPr>
          <w:p>
            <w:r/>
            <w:r>
              <w:rPr>
                <w:rFonts w:ascii="游ゴシック" w:hAnsi="游ゴシック" w:eastAsia="游ゴシック"/>
                <w:sz w:val="17"/>
              </w:rPr>
              <w:t>9,378</w:t>
            </w:r>
          </w:p>
        </w:tc>
        <w:tc>
          <w:tcPr>
            <w:tcW w:type="dxa" w:w="1361"/>
          </w:tcPr>
          <w:p>
            <w:r/>
            <w:r>
              <w:rPr>
                <w:rFonts w:ascii="游ゴシック" w:hAnsi="游ゴシック" w:eastAsia="游ゴシック"/>
                <w:sz w:val="17"/>
              </w:rPr>
              <w:t>9,633</w:t>
            </w:r>
          </w:p>
        </w:tc>
      </w:tr>
      <w:tr>
        <w:tc>
          <w:tcPr>
            <w:tcW w:type="dxa" w:w="1928"/>
          </w:tcPr>
          <w:p>
            <w:r/>
            <w:r>
              <w:rPr>
                <w:rFonts w:ascii="游ゴシック" w:hAnsi="游ゴシック" w:eastAsia="游ゴシック"/>
                <w:sz w:val="17"/>
              </w:rPr>
              <w:t>85歳以上</w:t>
            </w:r>
          </w:p>
        </w:tc>
        <w:tc>
          <w:tcPr>
            <w:tcW w:type="dxa" w:w="1474"/>
          </w:tcPr>
          <w:p>
            <w:r/>
            <w:r>
              <w:rPr>
                <w:rFonts w:ascii="游ゴシック" w:hAnsi="游ゴシック" w:eastAsia="游ゴシック"/>
                <w:sz w:val="17"/>
              </w:rPr>
              <w:t>2,190</w:t>
            </w:r>
          </w:p>
        </w:tc>
        <w:tc>
          <w:tcPr>
            <w:tcW w:type="dxa" w:w="1361"/>
          </w:tcPr>
          <w:p>
            <w:r/>
            <w:r>
              <w:rPr>
                <w:rFonts w:ascii="游ゴシック" w:hAnsi="游ゴシック" w:eastAsia="游ゴシック"/>
                <w:sz w:val="17"/>
              </w:rPr>
              <w:t>2,212</w:t>
            </w:r>
          </w:p>
        </w:tc>
        <w:tc>
          <w:tcPr>
            <w:tcW w:type="dxa" w:w="1361"/>
          </w:tcPr>
          <w:p>
            <w:r/>
            <w:r>
              <w:rPr>
                <w:rFonts w:ascii="游ゴシック" w:hAnsi="游ゴシック" w:eastAsia="游ゴシック"/>
                <w:sz w:val="17"/>
              </w:rPr>
              <w:t>2,234</w:t>
            </w:r>
          </w:p>
        </w:tc>
        <w:tc>
          <w:tcPr>
            <w:tcW w:type="dxa" w:w="1361"/>
          </w:tcPr>
          <w:p>
            <w:r/>
            <w:r>
              <w:rPr>
                <w:rFonts w:ascii="游ゴシック" w:hAnsi="游ゴシック" w:eastAsia="游ゴシック"/>
                <w:sz w:val="17"/>
              </w:rPr>
              <w:t>2,256</w:t>
            </w:r>
          </w:p>
        </w:tc>
        <w:tc>
          <w:tcPr>
            <w:tcW w:type="dxa" w:w="1361"/>
          </w:tcPr>
          <w:p>
            <w:r/>
            <w:r>
              <w:rPr>
                <w:rFonts w:ascii="游ゴシック" w:hAnsi="游ゴシック" w:eastAsia="游ゴシック"/>
                <w:sz w:val="17"/>
              </w:rPr>
              <w:t>2,673</w:t>
            </w:r>
          </w:p>
        </w:tc>
        <w:tc>
          <w:tcPr>
            <w:tcW w:type="dxa" w:w="1361"/>
          </w:tcPr>
          <w:p>
            <w:r/>
            <w:r>
              <w:rPr>
                <w:rFonts w:ascii="游ゴシック" w:hAnsi="游ゴシック" w:eastAsia="游ゴシック"/>
                <w:sz w:val="17"/>
              </w:rPr>
              <w:t>2,810</w:t>
            </w:r>
          </w:p>
        </w:tc>
      </w:tr>
      <w:tr>
        <w:tc>
          <w:tcPr>
            <w:tcW w:type="dxa" w:w="1928"/>
          </w:tcPr>
          <w:p>
            <w:r/>
            <w:r>
              <w:rPr>
                <w:rFonts w:ascii="游ゴシック" w:hAnsi="游ゴシック" w:eastAsia="游ゴシック"/>
                <w:sz w:val="17"/>
              </w:rPr>
              <w:t>認定者数</w:t>
            </w:r>
          </w:p>
        </w:tc>
        <w:tc>
          <w:tcPr>
            <w:tcW w:type="dxa" w:w="1474"/>
          </w:tcPr>
          <w:p>
            <w:r/>
            <w:r>
              <w:rPr>
                <w:rFonts w:ascii="游ゴシック" w:hAnsi="游ゴシック" w:eastAsia="游ゴシック"/>
                <w:sz w:val="17"/>
              </w:rPr>
              <w:t>1,984※</w:t>
            </w:r>
          </w:p>
        </w:tc>
        <w:tc>
          <w:tcPr>
            <w:tcW w:type="dxa" w:w="1361"/>
          </w:tcPr>
          <w:p>
            <w:r/>
            <w:r>
              <w:rPr>
                <w:rFonts w:ascii="游ゴシック" w:hAnsi="游ゴシック" w:eastAsia="游ゴシック"/>
                <w:sz w:val="17"/>
              </w:rPr>
              <w:t>1,960</w:t>
            </w:r>
          </w:p>
        </w:tc>
        <w:tc>
          <w:tcPr>
            <w:tcW w:type="dxa" w:w="1361"/>
          </w:tcPr>
          <w:p>
            <w:r/>
            <w:r>
              <w:rPr>
                <w:rFonts w:ascii="游ゴシック" w:hAnsi="游ゴシック" w:eastAsia="游ゴシック"/>
                <w:sz w:val="17"/>
              </w:rPr>
              <w:t>1,978</w:t>
            </w:r>
          </w:p>
        </w:tc>
        <w:tc>
          <w:tcPr>
            <w:tcW w:type="dxa" w:w="1361"/>
          </w:tcPr>
          <w:p>
            <w:r/>
            <w:r>
              <w:rPr>
                <w:rFonts w:ascii="游ゴシック" w:hAnsi="游ゴシック" w:eastAsia="游ゴシック"/>
                <w:sz w:val="17"/>
              </w:rPr>
              <w:t>1,993</w:t>
            </w:r>
          </w:p>
        </w:tc>
        <w:tc>
          <w:tcPr>
            <w:tcW w:type="dxa" w:w="1361"/>
          </w:tcPr>
          <w:p>
            <w:r/>
            <w:r>
              <w:rPr>
                <w:rFonts w:ascii="游ゴシック" w:hAnsi="游ゴシック" w:eastAsia="游ゴシック"/>
                <w:sz w:val="17"/>
              </w:rPr>
              <w:t>2,125</w:t>
            </w:r>
          </w:p>
        </w:tc>
        <w:tc>
          <w:tcPr>
            <w:tcW w:type="dxa" w:w="1361"/>
          </w:tcPr>
          <w:p>
            <w:r/>
            <w:r>
              <w:rPr>
                <w:rFonts w:ascii="游ゴシック" w:hAnsi="游ゴシック" w:eastAsia="游ゴシック"/>
                <w:sz w:val="17"/>
              </w:rPr>
              <w:t>2,193</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【直近実績と自然体推計の起点差】</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項目</w:t>
            </w:r>
          </w:p>
        </w:tc>
        <w:tc>
          <w:tcPr>
            <w:tcW w:type="dxa" w:w="1814"/>
          </w:tcPr>
          <w:p>
            <w:r/>
            <w:r>
              <w:rPr>
                <w:rFonts w:ascii="游ゴシック" w:hAnsi="游ゴシック" w:eastAsia="游ゴシック"/>
                <w:b/>
                <w:sz w:val="17"/>
              </w:rPr>
              <w:t>見える化直近実績</w:t>
            </w:r>
          </w:p>
        </w:tc>
        <w:tc>
          <w:tcPr>
            <w:tcW w:type="dxa" w:w="1814"/>
          </w:tcPr>
          <w:p>
            <w:r/>
            <w:r>
              <w:rPr>
                <w:rFonts w:ascii="游ゴシック" w:hAnsi="游ゴシック" w:eastAsia="游ゴシック"/>
                <w:b/>
                <w:sz w:val="17"/>
              </w:rPr>
              <w:t>自然体推計R8起点</w:t>
            </w:r>
          </w:p>
        </w:tc>
        <w:tc>
          <w:tcPr>
            <w:tcW w:type="dxa" w:w="1814"/>
          </w:tcPr>
          <w:p>
            <w:r/>
            <w:r>
              <w:rPr>
                <w:rFonts w:ascii="游ゴシック" w:hAnsi="游ゴシック" w:eastAsia="游ゴシック"/>
                <w:b/>
                <w:sz w:val="17"/>
              </w:rPr>
              <w:t>差（推計－実績）</w:t>
            </w:r>
          </w:p>
        </w:tc>
        <w:tc>
          <w:tcPr>
            <w:tcW w:type="dxa" w:w="2835"/>
          </w:tcPr>
          <w:p>
            <w:r/>
            <w:r>
              <w:rPr>
                <w:rFonts w:ascii="游ゴシック" w:hAnsi="游ゴシック" w:eastAsia="游ゴシック"/>
                <w:b/>
                <w:sz w:val="17"/>
              </w:rPr>
              <w:t>第10期での処理</w:t>
            </w:r>
          </w:p>
        </w:tc>
      </w:tr>
      <w:tr>
        <w:tc>
          <w:tcPr>
            <w:tcW w:type="dxa" w:w="2041"/>
          </w:tcPr>
          <w:p>
            <w:r/>
            <w:r>
              <w:rPr>
                <w:rFonts w:ascii="游ゴシック" w:hAnsi="游ゴシック" w:eastAsia="游ゴシック"/>
                <w:sz w:val="17"/>
              </w:rPr>
              <w:t>第1号被保険者数</w:t>
            </w:r>
          </w:p>
        </w:tc>
        <w:tc>
          <w:tcPr>
            <w:tcW w:type="dxa" w:w="1814"/>
          </w:tcPr>
          <w:p>
            <w:r/>
            <w:r>
              <w:rPr>
                <w:rFonts w:ascii="游ゴシック" w:hAnsi="游ゴシック" w:eastAsia="游ゴシック"/>
                <w:sz w:val="17"/>
              </w:rPr>
              <w:t>9,090人</w:t>
            </w:r>
          </w:p>
        </w:tc>
        <w:tc>
          <w:tcPr>
            <w:tcW w:type="dxa" w:w="1814"/>
          </w:tcPr>
          <w:p>
            <w:r/>
            <w:r>
              <w:rPr>
                <w:rFonts w:ascii="游ゴシック" w:hAnsi="游ゴシック" w:eastAsia="游ゴシック"/>
                <w:sz w:val="17"/>
              </w:rPr>
              <w:t>9,322人</w:t>
            </w:r>
          </w:p>
        </w:tc>
        <w:tc>
          <w:tcPr>
            <w:tcW w:type="dxa" w:w="1814"/>
          </w:tcPr>
          <w:p>
            <w:r/>
            <w:r>
              <w:rPr>
                <w:rFonts w:ascii="游ゴシック" w:hAnsi="游ゴシック" w:eastAsia="游ゴシック"/>
                <w:sz w:val="17"/>
              </w:rPr>
              <w:t>＋232人（＋2.6％）</w:t>
            </w:r>
          </w:p>
        </w:tc>
        <w:tc>
          <w:tcPr>
            <w:tcW w:type="dxa" w:w="2835"/>
          </w:tcPr>
          <w:p>
            <w:r/>
            <w:r>
              <w:rPr>
                <w:rFonts w:ascii="游ゴシック" w:hAnsi="游ゴシック" w:eastAsia="游ゴシック"/>
                <w:sz w:val="17"/>
              </w:rPr>
              <w:t>住民基本台帳・被保険者台帳の確定値に再基準化</w:t>
            </w:r>
          </w:p>
        </w:tc>
      </w:tr>
      <w:tr>
        <w:tc>
          <w:tcPr>
            <w:tcW w:type="dxa" w:w="2041"/>
          </w:tcPr>
          <w:p>
            <w:r/>
            <w:r>
              <w:rPr>
                <w:rFonts w:ascii="游ゴシック" w:hAnsi="游ゴシック" w:eastAsia="游ゴシック"/>
                <w:sz w:val="17"/>
              </w:rPr>
              <w:t>第1号認定者数</w:t>
            </w:r>
          </w:p>
        </w:tc>
        <w:tc>
          <w:tcPr>
            <w:tcW w:type="dxa" w:w="1814"/>
          </w:tcPr>
          <w:p>
            <w:r/>
            <w:r>
              <w:rPr>
                <w:rFonts w:ascii="游ゴシック" w:hAnsi="游ゴシック" w:eastAsia="游ゴシック"/>
                <w:sz w:val="17"/>
              </w:rPr>
              <w:t>1,984人</w:t>
            </w:r>
          </w:p>
        </w:tc>
        <w:tc>
          <w:tcPr>
            <w:tcW w:type="dxa" w:w="1814"/>
          </w:tcPr>
          <w:p>
            <w:r/>
            <w:r>
              <w:rPr>
                <w:rFonts w:ascii="游ゴシック" w:hAnsi="游ゴシック" w:eastAsia="游ゴシック"/>
                <w:sz w:val="17"/>
              </w:rPr>
              <w:t>1,943人</w:t>
            </w:r>
          </w:p>
        </w:tc>
        <w:tc>
          <w:tcPr>
            <w:tcW w:type="dxa" w:w="1814"/>
          </w:tcPr>
          <w:p>
            <w:r/>
            <w:r>
              <w:rPr>
                <w:rFonts w:ascii="游ゴシック" w:hAnsi="游ゴシック" w:eastAsia="游ゴシック"/>
                <w:sz w:val="17"/>
              </w:rPr>
              <w:t>▲41人（▲2.1％）</w:t>
            </w:r>
          </w:p>
        </w:tc>
        <w:tc>
          <w:tcPr>
            <w:tcW w:type="dxa" w:w="2835"/>
          </w:tcPr>
          <w:p>
            <w:r/>
            <w:r>
              <w:rPr>
                <w:rFonts w:ascii="游ゴシック" w:hAnsi="游ゴシック" w:eastAsia="游ゴシック"/>
                <w:sz w:val="17"/>
              </w:rPr>
              <w:t>認定者実績と年齢別認定率を差し替えて再計算</w:t>
            </w:r>
          </w:p>
        </w:tc>
      </w:tr>
    </w:tbl>
    <w:p>
      <w:pPr>
        <w:spacing w:after="160"/>
      </w:pPr>
      <w:r>
        <w:rPr>
          <w:rFonts w:ascii="游ゴシック" w:hAnsi="游ゴシック" w:eastAsia="游ゴシック"/>
          <w:b w:val="0"/>
          <w:sz w:val="17"/>
        </w:rPr>
        <w:t>※人口・85歳以上は自然体推計の人口系列、R8認定者数は見える化の直近実績を使用しています。起点差は誤りと断定せず、基準日、対象者定義、実績更新時期を確認した上で再基準化します。注）総人口及び被保険者数は、見える化システムの将来推計機能において入力値として扱われます。「自然体推計の計算過程確認シートのガイド」は、保険者が保有する総合計画等による推計人口等を用いることを基本とし、これを用意できない場合に国立社会保障・人口問題研究所の「日本の地域別将来推計人口」を利用することとしています。本計画では社人研推計（システムの初期値）をそのまま用いる方針としますが、東川町が25年以上にわたり人口増を続けている実態を推計に反映する場合は、3町の総合計画等による推計人口への差替えを検討します。差し替える場合は、差替えの根拠、社人研推計との差、及び差が生じる理由（社会増の見込み）を本文に明記します。なお基準時点は、同ガイドの推奨に従い各年度10月1日（9月末）現在とします。注）第9期計画の需要推計は実績を上回っており、令和6年度は▲2.9％、令和7年度は▲3.5％の乖離が生じています。第10期では認定率を年齢階級別に設定し、軽度と中重度で方向が異なること（第2章第1節3）を反映し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及び看護小規模多機能型居宅介護の見込量は、第4節1で決定する確保方策に応じて設定します（第1回委員会の決定事項）。認知症対応型通所介護は区域内に事業所がなく、区域外の事業所の利用によるものです。</w:t>
      </w:r>
    </w:p>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介護医療院は区域内に施設がなく、区域外の施設の利用によるものです。介護療養型医療施設も区域内には存在しません（令和6年度に制度上廃止）。慢性期医療及び看取りの受け皿が区域内にないことは、医療計画・地域医療構想との整合において確認を要する事項です（第1章第9節2）。</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単位は見える化システムの出力仕様に合わせ、利用者数、回数・日数、給付費をサービス別に確定します。R17・R22は2040年を見据えた中長期値とし、供給制約を反映した値には補正理由を付記します。注：R8サービス別利用者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268"/>
          </w:tcPr>
          <w:p>
            <w:r/>
            <w:r>
              <w:rPr>
                <w:rFonts w:ascii="游ゴシック" w:hAnsi="游ゴシック" w:eastAsia="游ゴシック"/>
                <w:sz w:val="17"/>
              </w:rPr>
              <w:t>事業開始年度から利用者数を計上</w:t>
            </w:r>
          </w:p>
        </w:tc>
      </w:tr>
    </w:tbl>
    <w:p>
      <w:pPr>
        <w:spacing w:after="160"/>
      </w:pPr>
      <w:r>
        <w:rPr>
          <w:rFonts w:ascii="游ゴシック" w:hAnsi="游ゴシック" w:eastAsia="游ゴシック"/>
          <w:b w:val="0"/>
          <w:sz w:val="17"/>
        </w:rPr>
        <w:t>注1）本項は第1回介護保険事業計画策定委員会の決定事項です。決定に当たっては、①要介護4・5の在宅生活者の夜間・深夜のニーズの把握、②事業者の参入意向、③旭川市の事業所の受入可能性、④特定地域居宅サービス等事業の適用可否、の4点を確認します。注2）第10期基本指針案は、都道府県と市町村の連携が重要な事項の例として「中山間・人口減少地域において人材確保やICT機器の活用等の生産性向上に係る支援を行うことや、それでもなおやむを得ない場合に新たな特例介護サービスや対象地域の検討」を挙げています。すなわち、まず人材確保・生産性向上の支援を行い、それでもなおやむを得ない場合に特例を検討するという順序が示されています。当広域連合の場合、当該3サービスは事業者自体が存在せず「まず支援する対象」がないため、この順序の適用について北海道と協議します。注3）整備する場合の見込量は、実績値がないため自然体推計ではゼロとなります。「自然体推計の計算過程確認シートのガイド」に従い、整備計画から見込まれる利用者数と、1人1月あたり給付費（全国平均値等を参考とすることが認められています）を直接入力して計上します。</w:t>
      </w:r>
    </w:p>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1）定員の推移は見える化D25・D26（平成27年度～令和6年度）による。施設サービスの定員合計は平成30年度536人から令和2年度以降462人へ、居住系サービスは令和2年度273人から令和4年度以降255人へ減少しています。注2）定員は見える化システムの令和6年度公表値、利用者は自然体推計確認シートのR8基準値です。基準時点・対象範囲が異なるため、単純比率は正式な入所率・稼働率ではなく、指定台帳・利用実績を確認するためのスクリーニング値です。第10期基本指針案の別表 七が求める入所率・稼働率は、3町の指定台帳又は施設への照会により別途把握します。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407944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472000" cy="4079442"/>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【第9期の必要保険料月額と基準額の対比】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5,900円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第7期に近い水準</w:t>
            </w:r>
          </w:p>
        </w:tc>
      </w:tr>
    </w:tbl>
    <w:p>
      <w:pPr>
        <w:spacing w:after="160"/>
      </w:pPr>
      <w:r>
        <w:rPr>
          <w:rFonts w:ascii="游ゴシック" w:hAnsi="游ゴシック" w:eastAsia="游ゴシック"/>
          <w:b w:val="0"/>
          <w:sz w:val="17"/>
        </w:rPr>
        <w:t>注）必要保険料月額は、当該年度の保険給付費及び地域支援事業費から逆算した概算値です。剰余の額は基金残高の推移と併せて確認します。基金残高及び取崩実績の資料が必要です。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472000" cy="3834869"/>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472000" cy="3834869"/>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当広域連合の給付水準の高さは、施設及び居住系サービスの受給率（全国比1.23）と訪問介護の利用強度（全国比1.87）に由来します（第2章第2節）。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なく、報酬改定、調整交付金、所得段階別補正、保険料抑制方針等の確定後に再計算します。予定収納率99.0％の妥当性は、第7期～第9期の収納率実績により検証しま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pPr>
        <w:spacing w:after="160"/>
      </w:pPr>
      <w:r>
        <w:rPr>
          <w:rFonts w:ascii="游ゴシック" w:hAnsi="游ゴシック" w:eastAsia="游ゴシック"/>
          <w:b w:val="0"/>
          <w:sz w:val="17"/>
        </w:rPr>
        <w:t>注）認定を受けながらサービスを利用していない方が504人（認定者の25.7％）おり、うち経済的理由によるものがあるかを確認します（第2章第2節3）。</w:t>
      </w:r>
    </w:p>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spacing w:after="160"/>
      </w:pPr>
      <w:r>
        <w:rPr>
          <w:rFonts w:ascii="游ゴシック" w:hAnsi="游ゴシック" w:eastAsia="游ゴシック"/>
          <w:b w:val="0"/>
          <w:sz w:val="17"/>
        </w:rPr>
        <w:t>注1）第9期の代表KPI4項目のうち、そのまま接続できるのはH02・H04の2項目です。H01は未調整率から性年齢調整済み要介護2以上へ、H05は通いの場から社会参加へ定義が変わるため、時系列が断絶します。第9期の達成度は第9期の定義で評価し、第10期のKPIは新たな基準値から開始します。計画本文には両者を併記し、断絶の理由を注記します。注2）データ源が未確保のH07・H08・H12・H16の4項目は、業務範囲の決定又は代理指標への振替が必要です。第1回委員会での確認事項です。注3）参考指標として、見える化B5-a（調整済み認定率）の【他地域と比較】系列16.7％を資料として保持します。ただしH01の測定にはW144を用います。</w:t>
      </w:r>
    </w:p>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spacing w:after="160"/>
      </w:pPr>
      <w:r>
        <w:rPr>
          <w:rFonts w:ascii="游ゴシック" w:hAnsi="游ゴシック" w:eastAsia="游ゴシック"/>
          <w:b w:val="0"/>
          <w:sz w:val="17"/>
        </w:rPr>
        <w:t>注）第9期においては、構成3町の高齢者福祉計画に数値目標が1件も設定されておらず、広域連合の代表KPIの検証への参画を明記していたのは東川町のみでした。第10期では、3町の計画に共通KPIを掲載していただくことが本表の実効性の前提となります。第1回委員会での確認事項で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spacing w:after="160"/>
      </w:pPr>
      <w:r>
        <w:rPr>
          <w:rFonts w:ascii="游ゴシック" w:hAnsi="游ゴシック" w:eastAsia="游ゴシック"/>
          <w:b w:val="0"/>
          <w:sz w:val="17"/>
        </w:rPr>
        <w:t>注1）共通KPIは同じ定義・基準時点で町別値を集計します。町固有の事業量・目標は各町計画で管理し、広域連合は認定・給付・供給・財政との関係を分析して委員会へ報告します。注2）第9期の3町計画では、用語の使い方に相違がありました。「フレイル」は美瑛町27回、東神楽町2回に対し東川町は0回、「地域包括ケアシステム」を東川町は「地域ケアシステム」と表記しています。第10期では用語を統一します。注3）移動支援は東川町・美瑛町が施策化していますが、広域計画に対応する施策がありません。第5章の基本目標2（生活支援）で接続します。</w:t>
      </w:r>
    </w:p>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spacing w:after="160"/>
      </w:pPr>
      <w:r>
        <w:rPr>
          <w:rFonts w:ascii="游ゴシック" w:hAnsi="游ゴシック" w:eastAsia="游ゴシック"/>
          <w:b w:val="0"/>
          <w:sz w:val="17"/>
        </w:rPr>
        <w:t>注1）未提出・定義不一致の場合は評価不能として扱い、参考値であること、欠測理由、代替指標及び改善期限を年次評価票に記録します。注2）審議後（10月）の関係者間共有は、保険者機能強化推進交付金の評価項目「介護保険事業計画等の進捗状況の評価結果を関係者間で共有し、自立支援・重度化防止等に資する取組を検討しているか」に対応します。</w:t>
      </w:r>
    </w:p>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spacing w:after="160"/>
      </w:pPr>
      <w:r>
        <w:rPr>
          <w:rFonts w:ascii="游ゴシック" w:hAnsi="游ゴシック" w:eastAsia="游ゴシック"/>
          <w:b w:val="0"/>
          <w:sz w:val="17"/>
        </w:rPr>
        <w:t>注）次の系列は、当広域連合についてデータ登録がなく取得できないことを確認しています（令和8年7月29日）。δ（介護サービス自給率）、H1・H2（介護人材の必要数）、J（認知症施策）、L（医療機関・看取り・診療報酬側の連携指標）。代替手段は資料6に記載しています。</w:t>
      </w:r>
    </w:p>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第2章第2節／見える化D41・D42・D13・D31・D49</w:t>
            </w:r>
          </w:p>
        </w:tc>
        <w:tc>
          <w:tcPr>
            <w:tcW w:type="dxa" w:w="3515"/>
          </w:tcPr>
          <w:p>
            <w:r/>
            <w:r>
              <w:rPr>
                <w:rFonts w:ascii="游ゴシック" w:hAnsi="游ゴシック" w:eastAsia="游ゴシック"/>
                <w:sz w:val="17"/>
              </w:rPr>
              <w:t>自給率（δ2・δ3）はデータ登録がない。国保連の給付実績情報と指定事業所台帳の突合により算定する（第5章 基本目標3）。なお事業所が存在しない11種別は自給率0％と特定済み。介護SCRは改修待ち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国が把握方法として明示する在宅介護実態調査が業務範囲外。家族の就業の状況・意向の把握手段の確保が必要（第1回委員会の確認事項）</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介護サービス見込量（在宅介護実態調査が業務範囲外）</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spacing w:after="160"/>
      </w:pPr>
      <w:r>
        <w:rPr>
          <w:rFonts w:ascii="游ゴシック" w:hAnsi="游ゴシック" w:eastAsia="游ゴシック"/>
          <w:b w:val="0"/>
          <w:sz w:val="17"/>
        </w:rPr>
        <w:t>注）本別表は第10期基本指針に新設される案であり、告示前です。告示後に最終確認します。</w:t>
      </w:r>
    </w:p>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020"/>
          </w:tcPr>
          <w:p>
            <w:r/>
            <w:r>
              <w:rPr>
                <w:rFonts w:ascii="游ゴシック" w:hAnsi="游ゴシック" w:eastAsia="游ゴシック"/>
                <w:b/>
                <w:sz w:val="17"/>
              </w:rPr>
              <w:t>図番号</w:t>
            </w:r>
          </w:p>
        </w:tc>
        <w:tc>
          <w:tcPr>
            <w:tcW w:type="dxa" w:w="3628"/>
          </w:tcPr>
          <w:p>
            <w:r/>
            <w:r>
              <w:rPr>
                <w:rFonts w:ascii="游ゴシック" w:hAnsi="游ゴシック" w:eastAsia="游ゴシック"/>
                <w:b/>
                <w:sz w:val="17"/>
              </w:rPr>
              <w:t>図表名</w:t>
            </w:r>
          </w:p>
        </w:tc>
        <w:tc>
          <w:tcPr>
            <w:tcW w:type="dxa" w:w="1587"/>
          </w:tcPr>
          <w:p>
            <w:r/>
            <w:r>
              <w:rPr>
                <w:rFonts w:ascii="游ゴシック" w:hAnsi="游ゴシック" w:eastAsia="游ゴシック"/>
                <w:b/>
                <w:sz w:val="17"/>
              </w:rPr>
              <w:t>掲載箇所</w:t>
            </w:r>
          </w:p>
        </w:tc>
        <w:tc>
          <w:tcPr>
            <w:tcW w:type="dxa" w:w="1701"/>
          </w:tcPr>
          <w:p>
            <w:r/>
            <w:r>
              <w:rPr>
                <w:rFonts w:ascii="游ゴシック" w:hAnsi="游ゴシック" w:eastAsia="游ゴシック"/>
                <w:b/>
                <w:sz w:val="17"/>
              </w:rPr>
              <w:t>区分</w:t>
            </w:r>
          </w:p>
        </w:tc>
        <w:tc>
          <w:tcPr>
            <w:tcW w:type="dxa" w:w="2154"/>
          </w:tcPr>
          <w:p>
            <w:r/>
            <w:r>
              <w:rPr>
                <w:rFonts w:ascii="游ゴシック" w:hAnsi="游ゴシック" w:eastAsia="游ゴシック"/>
                <w:b/>
                <w:sz w:val="17"/>
              </w:rPr>
              <w:t>図表集のシート</w:t>
            </w:r>
          </w:p>
        </w:tc>
      </w:tr>
      <w:tr>
        <w:tc>
          <w:tcPr>
            <w:tcW w:type="dxa" w:w="1020"/>
          </w:tcPr>
          <w:p>
            <w:r/>
            <w:r>
              <w:rPr>
                <w:rFonts w:ascii="游ゴシック" w:hAnsi="游ゴシック" w:eastAsia="游ゴシック"/>
                <w:sz w:val="17"/>
              </w:rPr>
              <w:t>図1</w:t>
            </w:r>
          </w:p>
        </w:tc>
        <w:tc>
          <w:tcPr>
            <w:tcW w:type="dxa" w:w="3628"/>
          </w:tcPr>
          <w:p>
            <w:r/>
            <w:r>
              <w:rPr>
                <w:rFonts w:ascii="游ゴシック" w:hAnsi="游ゴシック" w:eastAsia="游ゴシック"/>
                <w:sz w:val="17"/>
              </w:rPr>
              <w:t>総人口・高齢者人口の推移と将来推計</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01_人口推移</w:t>
            </w:r>
          </w:p>
        </w:tc>
      </w:tr>
      <w:tr>
        <w:tc>
          <w:tcPr>
            <w:tcW w:type="dxa" w:w="1020"/>
          </w:tcPr>
          <w:p>
            <w:r/>
            <w:r>
              <w:rPr>
                <w:rFonts w:ascii="游ゴシック" w:hAnsi="游ゴシック" w:eastAsia="游ゴシック"/>
                <w:sz w:val="17"/>
              </w:rPr>
              <w:t>図2</w:t>
            </w:r>
          </w:p>
        </w:tc>
        <w:tc>
          <w:tcPr>
            <w:tcW w:type="dxa" w:w="3628"/>
          </w:tcPr>
          <w:p>
            <w:r/>
            <w:r>
              <w:rPr>
                <w:rFonts w:ascii="游ゴシック" w:hAnsi="游ゴシック" w:eastAsia="游ゴシック"/>
                <w:sz w:val="17"/>
              </w:rPr>
              <w:t>高齢化率の比較（構成3町別）</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02_高齢化率推移</w:t>
            </w:r>
          </w:p>
        </w:tc>
      </w:tr>
      <w:tr>
        <w:tc>
          <w:tcPr>
            <w:tcW w:type="dxa" w:w="1020"/>
          </w:tcPr>
          <w:p>
            <w:r/>
            <w:r>
              <w:rPr>
                <w:rFonts w:ascii="游ゴシック" w:hAnsi="游ゴシック" w:eastAsia="游ゴシック"/>
                <w:sz w:val="17"/>
              </w:rPr>
              <w:t>図3</w:t>
            </w:r>
          </w:p>
        </w:tc>
        <w:tc>
          <w:tcPr>
            <w:tcW w:type="dxa" w:w="3628"/>
          </w:tcPr>
          <w:p>
            <w:r/>
            <w:r>
              <w:rPr>
                <w:rFonts w:ascii="游ゴシック" w:hAnsi="游ゴシック" w:eastAsia="游ゴシック"/>
                <w:sz w:val="17"/>
              </w:rPr>
              <w:t>高齢者を含む世帯の状況</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03_高齢者世帯</w:t>
            </w:r>
          </w:p>
        </w:tc>
      </w:tr>
      <w:tr>
        <w:tc>
          <w:tcPr>
            <w:tcW w:type="dxa" w:w="1020"/>
          </w:tcPr>
          <w:p>
            <w:r/>
            <w:r>
              <w:rPr>
                <w:rFonts w:ascii="游ゴシック" w:hAnsi="游ゴシック" w:eastAsia="游ゴシック"/>
                <w:sz w:val="17"/>
              </w:rPr>
              <w:t>図4</w:t>
            </w:r>
          </w:p>
        </w:tc>
        <w:tc>
          <w:tcPr>
            <w:tcW w:type="dxa" w:w="3628"/>
          </w:tcPr>
          <w:p>
            <w:r/>
            <w:r>
              <w:rPr>
                <w:rFonts w:ascii="游ゴシック" w:hAnsi="游ゴシック" w:eastAsia="游ゴシック"/>
                <w:sz w:val="17"/>
              </w:rPr>
              <w:t>要介護（要支援）認定者数の推移</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04_認定者数推移</w:t>
            </w:r>
          </w:p>
        </w:tc>
      </w:tr>
      <w:tr>
        <w:tc>
          <w:tcPr>
            <w:tcW w:type="dxa" w:w="1020"/>
          </w:tcPr>
          <w:p>
            <w:r/>
            <w:r>
              <w:rPr>
                <w:rFonts w:ascii="游ゴシック" w:hAnsi="游ゴシック" w:eastAsia="游ゴシック"/>
                <w:sz w:val="17"/>
              </w:rPr>
              <w:t>図5</w:t>
            </w:r>
          </w:p>
        </w:tc>
        <w:tc>
          <w:tcPr>
            <w:tcW w:type="dxa" w:w="3628"/>
          </w:tcPr>
          <w:p>
            <w:r/>
            <w:r>
              <w:rPr>
                <w:rFonts w:ascii="游ゴシック" w:hAnsi="游ゴシック" w:eastAsia="游ゴシック"/>
                <w:sz w:val="17"/>
              </w:rPr>
              <w:t>認定者割合の比較（要介護度別）</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05_認定者割合</w:t>
            </w:r>
          </w:p>
        </w:tc>
      </w:tr>
      <w:tr>
        <w:tc>
          <w:tcPr>
            <w:tcW w:type="dxa" w:w="1020"/>
          </w:tcPr>
          <w:p>
            <w:r/>
            <w:r>
              <w:rPr>
                <w:rFonts w:ascii="游ゴシック" w:hAnsi="游ゴシック" w:eastAsia="游ゴシック"/>
                <w:sz w:val="17"/>
              </w:rPr>
              <w:t>図6-1</w:t>
            </w:r>
          </w:p>
        </w:tc>
        <w:tc>
          <w:tcPr>
            <w:tcW w:type="dxa" w:w="3628"/>
          </w:tcPr>
          <w:p>
            <w:r/>
            <w:r>
              <w:rPr>
                <w:rFonts w:ascii="游ゴシック" w:hAnsi="游ゴシック" w:eastAsia="游ゴシック"/>
                <w:sz w:val="17"/>
              </w:rPr>
              <w:t>年齢階級別にみた要介護認定率（粗認定率）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06_出現率推移</w:t>
            </w:r>
          </w:p>
        </w:tc>
      </w:tr>
      <w:tr>
        <w:tc>
          <w:tcPr>
            <w:tcW w:type="dxa" w:w="1020"/>
          </w:tcPr>
          <w:p>
            <w:r/>
            <w:r>
              <w:rPr>
                <w:rFonts w:ascii="游ゴシック" w:hAnsi="游ゴシック" w:eastAsia="游ゴシック"/>
                <w:sz w:val="17"/>
              </w:rPr>
              <w:t>図6-2</w:t>
            </w:r>
          </w:p>
        </w:tc>
        <w:tc>
          <w:tcPr>
            <w:tcW w:type="dxa" w:w="3628"/>
          </w:tcPr>
          <w:p>
            <w:r/>
            <w:r>
              <w:rPr>
                <w:rFonts w:ascii="游ゴシック" w:hAnsi="游ゴシック" w:eastAsia="游ゴシック"/>
                <w:sz w:val="17"/>
              </w:rPr>
              <w:t>性・年齢調整済み要介護2以上認定率と変化率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図7</w:t>
            </w:r>
          </w:p>
        </w:tc>
        <w:tc>
          <w:tcPr>
            <w:tcW w:type="dxa" w:w="3628"/>
          </w:tcPr>
          <w:p>
            <w:r/>
            <w:r>
              <w:rPr>
                <w:rFonts w:ascii="游ゴシック" w:hAnsi="游ゴシック" w:eastAsia="游ゴシック"/>
                <w:sz w:val="17"/>
              </w:rPr>
              <w:t>保険給付費・地域支援事業費の推移と中長期見通し</w:t>
            </w:r>
          </w:p>
        </w:tc>
        <w:tc>
          <w:tcPr>
            <w:tcW w:type="dxa" w:w="1587"/>
          </w:tcPr>
          <w:p>
            <w:r/>
            <w:r>
              <w:rPr>
                <w:rFonts w:ascii="游ゴシック" w:hAnsi="游ゴシック" w:eastAsia="游ゴシック"/>
                <w:sz w:val="17"/>
              </w:rPr>
              <w:t>第2章第1節4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07_給付費推移</w:t>
            </w:r>
          </w:p>
        </w:tc>
      </w:tr>
      <w:tr>
        <w:tc>
          <w:tcPr>
            <w:tcW w:type="dxa" w:w="1020"/>
          </w:tcPr>
          <w:p>
            <w:r/>
            <w:r>
              <w:rPr>
                <w:rFonts w:ascii="游ゴシック" w:hAnsi="游ゴシック" w:eastAsia="游ゴシック"/>
                <w:sz w:val="17"/>
              </w:rPr>
              <w:t>図8</w:t>
            </w:r>
          </w:p>
        </w:tc>
        <w:tc>
          <w:tcPr>
            <w:tcW w:type="dxa" w:w="3628"/>
          </w:tcPr>
          <w:p>
            <w:r/>
            <w:r>
              <w:rPr>
                <w:rFonts w:ascii="游ゴシック" w:hAnsi="游ゴシック" w:eastAsia="游ゴシック"/>
                <w:sz w:val="17"/>
              </w:rPr>
              <w:t>健康とくらしの調査の主要指標</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08_ニーズ調査データ</w:t>
            </w:r>
          </w:p>
        </w:tc>
      </w:tr>
      <w:tr>
        <w:tc>
          <w:tcPr>
            <w:tcW w:type="dxa" w:w="1020"/>
          </w:tcPr>
          <w:p>
            <w:r/>
            <w:r>
              <w:rPr>
                <w:rFonts w:ascii="游ゴシック" w:hAnsi="游ゴシック" w:eastAsia="游ゴシック"/>
                <w:sz w:val="17"/>
              </w:rPr>
              <w:t>図8-2</w:t>
            </w:r>
          </w:p>
        </w:tc>
        <w:tc>
          <w:tcPr>
            <w:tcW w:type="dxa" w:w="3628"/>
          </w:tcPr>
          <w:p>
            <w:r/>
            <w:r>
              <w:rPr>
                <w:rFonts w:ascii="游ゴシック" w:hAnsi="游ゴシック" w:eastAsia="游ゴシック"/>
                <w:sz w:val="17"/>
              </w:rPr>
              <w:t>月1回以上の社会参加率（町別）／調査20指標の詳細</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本文掲載（詳細は図表集参照）</w:t>
            </w:r>
          </w:p>
        </w:tc>
        <w:tc>
          <w:tcPr>
            <w:tcW w:type="dxa" w:w="2154"/>
          </w:tcPr>
          <w:p>
            <w:r/>
            <w:r>
              <w:rPr>
                <w:rFonts w:ascii="游ゴシック" w:hAnsi="游ゴシック" w:eastAsia="游ゴシック"/>
                <w:sz w:val="17"/>
              </w:rPr>
              <w:t>09_ニーズ調査グラフ</w:t>
            </w:r>
          </w:p>
        </w:tc>
      </w:tr>
      <w:tr>
        <w:tc>
          <w:tcPr>
            <w:tcW w:type="dxa" w:w="1020"/>
          </w:tcPr>
          <w:p>
            <w:r/>
            <w:r>
              <w:rPr>
                <w:rFonts w:ascii="游ゴシック" w:hAnsi="游ゴシック" w:eastAsia="游ゴシック"/>
                <w:sz w:val="17"/>
              </w:rPr>
              <w:t>図9</w:t>
            </w:r>
          </w:p>
        </w:tc>
        <w:tc>
          <w:tcPr>
            <w:tcW w:type="dxa" w:w="3628"/>
          </w:tcPr>
          <w:p>
            <w:r/>
            <w:r>
              <w:rPr>
                <w:rFonts w:ascii="游ゴシック" w:hAnsi="游ゴシック" w:eastAsia="游ゴシック"/>
                <w:sz w:val="17"/>
              </w:rPr>
              <w:t>在宅介護実態調査 結果概要（第9期実施分）</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10_在宅介護実態調査</w:t>
            </w:r>
          </w:p>
        </w:tc>
      </w:tr>
      <w:tr>
        <w:tc>
          <w:tcPr>
            <w:tcW w:type="dxa" w:w="1020"/>
          </w:tcPr>
          <w:p>
            <w:r/>
            <w:r>
              <w:rPr>
                <w:rFonts w:ascii="游ゴシック" w:hAnsi="游ゴシック" w:eastAsia="游ゴシック"/>
                <w:sz w:val="17"/>
              </w:rPr>
              <w:t>図10</w:t>
            </w:r>
          </w:p>
        </w:tc>
        <w:tc>
          <w:tcPr>
            <w:tcW w:type="dxa" w:w="3628"/>
          </w:tcPr>
          <w:p>
            <w:r/>
            <w:r>
              <w:rPr>
                <w:rFonts w:ascii="游ゴシック" w:hAnsi="游ゴシック" w:eastAsia="游ゴシック"/>
                <w:sz w:val="17"/>
              </w:rPr>
              <w:t>居所変更実態調査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11_居所変更実態調査</w:t>
            </w:r>
          </w:p>
        </w:tc>
      </w:tr>
      <w:tr>
        <w:tc>
          <w:tcPr>
            <w:tcW w:type="dxa" w:w="1020"/>
          </w:tcPr>
          <w:p>
            <w:r/>
            <w:r>
              <w:rPr>
                <w:rFonts w:ascii="游ゴシック" w:hAnsi="游ゴシック" w:eastAsia="游ゴシック"/>
                <w:sz w:val="17"/>
              </w:rPr>
              <w:t>図11</w:t>
            </w:r>
          </w:p>
        </w:tc>
        <w:tc>
          <w:tcPr>
            <w:tcW w:type="dxa" w:w="3628"/>
          </w:tcPr>
          <w:p>
            <w:r/>
            <w:r>
              <w:rPr>
                <w:rFonts w:ascii="游ゴシック" w:hAnsi="游ゴシック" w:eastAsia="游ゴシック"/>
                <w:sz w:val="17"/>
              </w:rPr>
              <w:t>在宅生活改善調査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12_在宅生活改善調査</w:t>
            </w:r>
          </w:p>
        </w:tc>
      </w:tr>
      <w:tr>
        <w:tc>
          <w:tcPr>
            <w:tcW w:type="dxa" w:w="1020"/>
          </w:tcPr>
          <w:p>
            <w:r/>
            <w:r>
              <w:rPr>
                <w:rFonts w:ascii="游ゴシック" w:hAnsi="游ゴシック" w:eastAsia="游ゴシック"/>
                <w:sz w:val="17"/>
              </w:rPr>
              <w:t>図12</w:t>
            </w:r>
          </w:p>
        </w:tc>
        <w:tc>
          <w:tcPr>
            <w:tcW w:type="dxa" w:w="3628"/>
          </w:tcPr>
          <w:p>
            <w:r/>
            <w:r>
              <w:rPr>
                <w:rFonts w:ascii="游ゴシック" w:hAnsi="游ゴシック" w:eastAsia="游ゴシック"/>
                <w:sz w:val="17"/>
              </w:rPr>
              <w:t>介護人材実態調査 結果概要</w:t>
            </w:r>
          </w:p>
        </w:tc>
        <w:tc>
          <w:tcPr>
            <w:tcW w:type="dxa" w:w="1587"/>
          </w:tcPr>
          <w:p>
            <w:r/>
            <w:r>
              <w:rPr>
                <w:rFonts w:ascii="游ゴシック" w:hAnsi="游ゴシック" w:eastAsia="游ゴシック"/>
                <w:sz w:val="17"/>
              </w:rPr>
              <w:t>第2章第6節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13_介護人材実態調査</w:t>
            </w:r>
          </w:p>
        </w:tc>
      </w:tr>
      <w:tr>
        <w:tc>
          <w:tcPr>
            <w:tcW w:type="dxa" w:w="1020"/>
          </w:tcPr>
          <w:p>
            <w:r/>
            <w:r>
              <w:rPr>
                <w:rFonts w:ascii="游ゴシック" w:hAnsi="游ゴシック" w:eastAsia="游ゴシック"/>
                <w:sz w:val="17"/>
              </w:rPr>
              <w:t>図13</w:t>
            </w:r>
          </w:p>
        </w:tc>
        <w:tc>
          <w:tcPr>
            <w:tcW w:type="dxa" w:w="3628"/>
          </w:tcPr>
          <w:p>
            <w:r/>
            <w:r>
              <w:rPr>
                <w:rFonts w:ascii="游ゴシック" w:hAnsi="游ゴシック" w:eastAsia="游ゴシック"/>
                <w:sz w:val="17"/>
              </w:rPr>
              <w:t>高齢者の年齢構成（5歳階級別）の推移と将来推計</w:t>
            </w:r>
          </w:p>
        </w:tc>
        <w:tc>
          <w:tcPr>
            <w:tcW w:type="dxa" w:w="1587"/>
          </w:tcPr>
          <w:p>
            <w:r/>
            <w:r>
              <w:rPr>
                <w:rFonts w:ascii="游ゴシック" w:hAnsi="游ゴシック" w:eastAsia="游ゴシック"/>
                <w:sz w:val="17"/>
              </w:rPr>
              <w:t>第2章第1節2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14_年齢構成と85歳以上</w:t>
            </w:r>
          </w:p>
        </w:tc>
      </w:tr>
      <w:tr>
        <w:tc>
          <w:tcPr>
            <w:tcW w:type="dxa" w:w="1020"/>
          </w:tcPr>
          <w:p>
            <w:r/>
            <w:r>
              <w:rPr>
                <w:rFonts w:ascii="游ゴシック" w:hAnsi="游ゴシック" w:eastAsia="游ゴシック"/>
                <w:sz w:val="17"/>
              </w:rPr>
              <w:t>図14</w:t>
            </w:r>
          </w:p>
        </w:tc>
        <w:tc>
          <w:tcPr>
            <w:tcW w:type="dxa" w:w="3628"/>
          </w:tcPr>
          <w:p>
            <w:r/>
            <w:r>
              <w:rPr>
                <w:rFonts w:ascii="游ゴシック" w:hAnsi="游ゴシック" w:eastAsia="游ゴシック"/>
                <w:sz w:val="17"/>
              </w:rPr>
              <w:t>受給者1人当たり利用日数・回数</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15_サービス利用強度</w:t>
            </w:r>
          </w:p>
        </w:tc>
      </w:tr>
      <w:tr>
        <w:tc>
          <w:tcPr>
            <w:tcW w:type="dxa" w:w="1020"/>
          </w:tcPr>
          <w:p>
            <w:r/>
            <w:r>
              <w:rPr>
                <w:rFonts w:ascii="游ゴシック" w:hAnsi="游ゴシック" w:eastAsia="游ゴシック"/>
                <w:sz w:val="17"/>
              </w:rPr>
              <w:t>図15</w:t>
            </w:r>
          </w:p>
        </w:tc>
        <w:tc>
          <w:tcPr>
            <w:tcW w:type="dxa" w:w="3628"/>
          </w:tcPr>
          <w:p>
            <w:r/>
            <w:r>
              <w:rPr>
                <w:rFonts w:ascii="游ゴシック" w:hAnsi="游ゴシック" w:eastAsia="游ゴシック"/>
                <w:sz w:val="17"/>
              </w:rPr>
              <w:t>町別総人口の推移と将来推計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16_町別将来推計</w:t>
            </w:r>
          </w:p>
        </w:tc>
      </w:tr>
      <w:tr>
        <w:tc>
          <w:tcPr>
            <w:tcW w:type="dxa" w:w="1020"/>
          </w:tcPr>
          <w:p>
            <w:r/>
            <w:r>
              <w:rPr>
                <w:rFonts w:ascii="游ゴシック" w:hAnsi="游ゴシック" w:eastAsia="游ゴシック"/>
                <w:sz w:val="17"/>
              </w:rPr>
              <w:t>図16</w:t>
            </w:r>
          </w:p>
        </w:tc>
        <w:tc>
          <w:tcPr>
            <w:tcW w:type="dxa" w:w="3628"/>
          </w:tcPr>
          <w:p>
            <w:r/>
            <w:r>
              <w:rPr>
                <w:rFonts w:ascii="游ゴシック" w:hAnsi="游ゴシック" w:eastAsia="游ゴシック"/>
                <w:sz w:val="17"/>
              </w:rPr>
              <w:t>高齢者1人当たり現役世代数の推移と将来推計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17_担い手の推移</w:t>
            </w:r>
          </w:p>
        </w:tc>
      </w:tr>
      <w:tr>
        <w:tc>
          <w:tcPr>
            <w:tcW w:type="dxa" w:w="1020"/>
          </w:tcPr>
          <w:p>
            <w:r/>
            <w:r>
              <w:rPr>
                <w:rFonts w:ascii="游ゴシック" w:hAnsi="游ゴシック" w:eastAsia="游ゴシック"/>
                <w:sz w:val="17"/>
              </w:rPr>
              <w:t>図17</w:t>
            </w:r>
          </w:p>
        </w:tc>
        <w:tc>
          <w:tcPr>
            <w:tcW w:type="dxa" w:w="3628"/>
          </w:tcPr>
          <w:p>
            <w:r/>
            <w:r>
              <w:rPr>
                <w:rFonts w:ascii="游ゴシック" w:hAnsi="游ゴシック" w:eastAsia="游ゴシック"/>
                <w:sz w:val="17"/>
              </w:rPr>
              <w:t>介護サービス利用率の推移／認定者と受給者の推移</w:t>
            </w:r>
          </w:p>
        </w:tc>
        <w:tc>
          <w:tcPr>
            <w:tcW w:type="dxa" w:w="1587"/>
          </w:tcPr>
          <w:p>
            <w:r/>
            <w:r>
              <w:rPr>
                <w:rFonts w:ascii="游ゴシック" w:hAnsi="游ゴシック" w:eastAsia="游ゴシック"/>
                <w:sz w:val="17"/>
              </w:rPr>
              <w:t>第2章第2節3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18_受給率・利用率</w:t>
            </w:r>
          </w:p>
        </w:tc>
      </w:tr>
      <w:tr>
        <w:tc>
          <w:tcPr>
            <w:tcW w:type="dxa" w:w="1020"/>
          </w:tcPr>
          <w:p>
            <w:r/>
            <w:r>
              <w:rPr>
                <w:rFonts w:ascii="游ゴシック" w:hAnsi="游ゴシック" w:eastAsia="游ゴシック"/>
                <w:sz w:val="17"/>
              </w:rPr>
              <w:t>図18</w:t>
            </w:r>
          </w:p>
        </w:tc>
        <w:tc>
          <w:tcPr>
            <w:tcW w:type="dxa" w:w="3628"/>
          </w:tcPr>
          <w:p>
            <w:r/>
            <w:r>
              <w:rPr>
                <w:rFonts w:ascii="游ゴシック" w:hAnsi="游ゴシック" w:eastAsia="游ゴシック"/>
                <w:sz w:val="17"/>
              </w:rPr>
              <w:t>地域差指数による給付水準の要因分解</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19_給付月額の比較</w:t>
            </w:r>
          </w:p>
        </w:tc>
      </w:tr>
      <w:tr>
        <w:tc>
          <w:tcPr>
            <w:tcW w:type="dxa" w:w="1020"/>
          </w:tcPr>
          <w:p>
            <w:r/>
            <w:r>
              <w:rPr>
                <w:rFonts w:ascii="游ゴシック" w:hAnsi="游ゴシック" w:eastAsia="游ゴシック"/>
                <w:sz w:val="17"/>
              </w:rPr>
              <w:t>図19</w:t>
            </w:r>
          </w:p>
        </w:tc>
        <w:tc>
          <w:tcPr>
            <w:tcW w:type="dxa" w:w="3628"/>
          </w:tcPr>
          <w:p>
            <w:r/>
            <w:r>
              <w:rPr>
                <w:rFonts w:ascii="游ゴシック" w:hAnsi="游ゴシック" w:eastAsia="游ゴシック"/>
                <w:sz w:val="17"/>
              </w:rPr>
              <w:t>第9期計画の代表KPIの達成状況</w:t>
            </w:r>
          </w:p>
        </w:tc>
        <w:tc>
          <w:tcPr>
            <w:tcW w:type="dxa" w:w="1587"/>
          </w:tcPr>
          <w:p>
            <w:r/>
            <w:r>
              <w:rPr>
                <w:rFonts w:ascii="游ゴシック" w:hAnsi="游ゴシック" w:eastAsia="游ゴシック"/>
                <w:sz w:val="17"/>
              </w:rPr>
              <w:t>第3章第1節1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20_第9期の達成状況</w:t>
            </w:r>
          </w:p>
        </w:tc>
      </w:tr>
      <w:tr>
        <w:tc>
          <w:tcPr>
            <w:tcW w:type="dxa" w:w="1020"/>
          </w:tcPr>
          <w:p>
            <w:r/>
            <w:r>
              <w:rPr>
                <w:rFonts w:ascii="游ゴシック" w:hAnsi="游ゴシック" w:eastAsia="游ゴシック"/>
                <w:sz w:val="17"/>
              </w:rPr>
              <w:t>図20</w:t>
            </w:r>
          </w:p>
        </w:tc>
        <w:tc>
          <w:tcPr>
            <w:tcW w:type="dxa" w:w="3628"/>
          </w:tcPr>
          <w:p>
            <w:r/>
            <w:r>
              <w:rPr>
                <w:rFonts w:ascii="游ゴシック" w:hAnsi="游ゴシック" w:eastAsia="游ゴシック"/>
                <w:sz w:val="17"/>
              </w:rPr>
              <w:t>受給率の内訳（在宅・施設居住系別）</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21_受給率と定員</w:t>
            </w:r>
          </w:p>
        </w:tc>
      </w:tr>
      <w:tr>
        <w:tc>
          <w:tcPr>
            <w:tcW w:type="dxa" w:w="1020"/>
          </w:tcPr>
          <w:p>
            <w:r/>
            <w:r>
              <w:rPr>
                <w:rFonts w:ascii="游ゴシック" w:hAnsi="游ゴシック" w:eastAsia="游ゴシック"/>
                <w:sz w:val="17"/>
              </w:rPr>
              <w:t>図21</w:t>
            </w:r>
          </w:p>
        </w:tc>
        <w:tc>
          <w:tcPr>
            <w:tcW w:type="dxa" w:w="3628"/>
          </w:tcPr>
          <w:p>
            <w:r/>
            <w:r>
              <w:rPr>
                <w:rFonts w:ascii="游ゴシック" w:hAnsi="游ゴシック" w:eastAsia="游ゴシック"/>
                <w:sz w:val="17"/>
              </w:rPr>
              <w:t>サービス種類別 第1号1人当たり給付月額の増減率</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22_サービス別給付動向</w:t>
            </w:r>
          </w:p>
        </w:tc>
      </w:tr>
      <w:tr>
        <w:tc>
          <w:tcPr>
            <w:tcW w:type="dxa" w:w="1020"/>
          </w:tcPr>
          <w:p>
            <w:r/>
            <w:r>
              <w:rPr>
                <w:rFonts w:ascii="游ゴシック" w:hAnsi="游ゴシック" w:eastAsia="游ゴシック"/>
                <w:sz w:val="17"/>
              </w:rPr>
              <w:t>図22</w:t>
            </w:r>
          </w:p>
        </w:tc>
        <w:tc>
          <w:tcPr>
            <w:tcW w:type="dxa" w:w="3628"/>
          </w:tcPr>
          <w:p>
            <w:r/>
            <w:r>
              <w:rPr>
                <w:rFonts w:ascii="游ゴシック" w:hAnsi="游ゴシック" w:eastAsia="游ゴシック"/>
                <w:sz w:val="17"/>
              </w:rPr>
              <w:t>調整済み第1号1人当たり給付月額（北海道との比較）</w:t>
            </w:r>
          </w:p>
        </w:tc>
        <w:tc>
          <w:tcPr>
            <w:tcW w:type="dxa" w:w="1587"/>
          </w:tcPr>
          <w:p>
            <w:r/>
            <w:r>
              <w:rPr>
                <w:rFonts w:ascii="游ゴシック" w:hAnsi="游ゴシック" w:eastAsia="游ゴシック"/>
                <w:sz w:val="17"/>
              </w:rPr>
              <w:t>第2章第2節4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23_上川中部圏域比較</w:t>
            </w:r>
          </w:p>
        </w:tc>
      </w:tr>
      <w:tr>
        <w:tc>
          <w:tcPr>
            <w:tcW w:type="dxa" w:w="1020"/>
          </w:tcPr>
          <w:p>
            <w:r/>
            <w:r>
              <w:rPr>
                <w:rFonts w:ascii="游ゴシック" w:hAnsi="游ゴシック" w:eastAsia="游ゴシック"/>
                <w:sz w:val="17"/>
              </w:rPr>
              <w:t>図23</w:t>
            </w:r>
          </w:p>
        </w:tc>
        <w:tc>
          <w:tcPr>
            <w:tcW w:type="dxa" w:w="3628"/>
          </w:tcPr>
          <w:p>
            <w:r/>
            <w:r>
              <w:rPr>
                <w:rFonts w:ascii="游ゴシック" w:hAnsi="游ゴシック" w:eastAsia="游ゴシック"/>
                <w:sz w:val="17"/>
              </w:rPr>
              <w:t>通いの場への参加率／箇所数（総合事業ベース）</w:t>
            </w:r>
          </w:p>
        </w:tc>
        <w:tc>
          <w:tcPr>
            <w:tcW w:type="dxa" w:w="1587"/>
          </w:tcPr>
          <w:p>
            <w:r/>
            <w:r>
              <w:rPr>
                <w:rFonts w:ascii="游ゴシック" w:hAnsi="游ゴシック" w:eastAsia="游ゴシック"/>
                <w:sz w:val="17"/>
              </w:rPr>
              <w:t>第3章第1節2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24_通いの場_総合事業</w:t>
            </w:r>
          </w:p>
        </w:tc>
      </w:tr>
      <w:tr>
        <w:tc>
          <w:tcPr>
            <w:tcW w:type="dxa" w:w="1020"/>
          </w:tcPr>
          <w:p>
            <w:r/>
            <w:r>
              <w:rPr>
                <w:rFonts w:ascii="游ゴシック" w:hAnsi="游ゴシック" w:eastAsia="游ゴシック"/>
                <w:sz w:val="17"/>
              </w:rPr>
              <w:t>図24-1</w:t>
            </w:r>
          </w:p>
        </w:tc>
        <w:tc>
          <w:tcPr>
            <w:tcW w:type="dxa" w:w="3628"/>
          </w:tcPr>
          <w:p>
            <w:r/>
            <w:r>
              <w:rPr>
                <w:rFonts w:ascii="游ゴシック" w:hAnsi="游ゴシック" w:eastAsia="游ゴシック"/>
                <w:sz w:val="17"/>
              </w:rPr>
              <w:t>増減のあったサービスの事業所数の推移</w:t>
            </w:r>
          </w:p>
        </w:tc>
        <w:tc>
          <w:tcPr>
            <w:tcW w:type="dxa" w:w="1587"/>
          </w:tcPr>
          <w:p>
            <w:r/>
            <w:r>
              <w:rPr>
                <w:rFonts w:ascii="游ゴシック" w:hAnsi="游ゴシック" w:eastAsia="游ゴシック"/>
                <w:sz w:val="17"/>
              </w:rPr>
              <w:t>第2章第3節2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図24-2</w:t>
            </w:r>
          </w:p>
        </w:tc>
        <w:tc>
          <w:tcPr>
            <w:tcW w:type="dxa" w:w="3628"/>
          </w:tcPr>
          <w:p>
            <w:r/>
            <w:r>
              <w:rPr>
                <w:rFonts w:ascii="游ゴシック" w:hAnsi="游ゴシック" w:eastAsia="游ゴシック"/>
                <w:sz w:val="17"/>
              </w:rPr>
              <w:t>域内に事業所が存在しないサービス</w:t>
            </w:r>
          </w:p>
        </w:tc>
        <w:tc>
          <w:tcPr>
            <w:tcW w:type="dxa" w:w="1587"/>
          </w:tcPr>
          <w:p>
            <w:r/>
            <w:r>
              <w:rPr>
                <w:rFonts w:ascii="游ゴシック" w:hAnsi="游ゴシック" w:eastAsia="游ゴシック"/>
                <w:sz w:val="17"/>
              </w:rPr>
              <w:t>第2章第3節1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図24-3</w:t>
            </w:r>
          </w:p>
        </w:tc>
        <w:tc>
          <w:tcPr>
            <w:tcW w:type="dxa" w:w="3628"/>
          </w:tcPr>
          <w:p>
            <w:r/>
            <w:r>
              <w:rPr>
                <w:rFonts w:ascii="游ゴシック" w:hAnsi="游ゴシック" w:eastAsia="游ゴシック"/>
                <w:sz w:val="17"/>
              </w:rPr>
              <w:t>人口10万対の事業所数 大雪／全国</w:t>
            </w:r>
          </w:p>
        </w:tc>
        <w:tc>
          <w:tcPr>
            <w:tcW w:type="dxa" w:w="1587"/>
          </w:tcPr>
          <w:p>
            <w:r/>
            <w:r>
              <w:rPr>
                <w:rFonts w:ascii="游ゴシック" w:hAnsi="游ゴシック" w:eastAsia="游ゴシック"/>
                <w:sz w:val="17"/>
              </w:rPr>
              <w:t>第2章第3節3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図25-1</w:t>
            </w:r>
          </w:p>
        </w:tc>
        <w:tc>
          <w:tcPr>
            <w:tcW w:type="dxa" w:w="3628"/>
          </w:tcPr>
          <w:p>
            <w:r/>
            <w:r>
              <w:rPr>
                <w:rFonts w:ascii="游ゴシック" w:hAnsi="游ゴシック" w:eastAsia="游ゴシック"/>
                <w:sz w:val="17"/>
              </w:rPr>
              <w:t>サービス別の従事者数の推移</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図25-3</w:t>
            </w:r>
          </w:p>
        </w:tc>
        <w:tc>
          <w:tcPr>
            <w:tcW w:type="dxa" w:w="3628"/>
          </w:tcPr>
          <w:p>
            <w:r/>
            <w:r>
              <w:rPr>
                <w:rFonts w:ascii="游ゴシック" w:hAnsi="游ゴシック" w:eastAsia="游ゴシック"/>
                <w:sz w:val="17"/>
              </w:rPr>
              <w:t>職種別の従事者数の推移（介護老人福祉施設）</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図26-1</w:t>
            </w:r>
          </w:p>
        </w:tc>
        <w:tc>
          <w:tcPr>
            <w:tcW w:type="dxa" w:w="3628"/>
          </w:tcPr>
          <w:p>
            <w:r/>
            <w:r>
              <w:rPr>
                <w:rFonts w:ascii="游ゴシック" w:hAnsi="游ゴシック" w:eastAsia="游ゴシック"/>
                <w:sz w:val="17"/>
              </w:rPr>
              <w:t>保険者機能強化推進交付金等の総合得点</w:t>
            </w:r>
          </w:p>
        </w:tc>
        <w:tc>
          <w:tcPr>
            <w:tcW w:type="dxa" w:w="1587"/>
          </w:tcPr>
          <w:p>
            <w:r/>
            <w:r>
              <w:rPr>
                <w:rFonts w:ascii="游ゴシック" w:hAnsi="游ゴシック" w:eastAsia="游ゴシック"/>
                <w:sz w:val="17"/>
              </w:rPr>
              <w:t>第3章第4節1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図26-2</w:t>
            </w:r>
          </w:p>
        </w:tc>
        <w:tc>
          <w:tcPr>
            <w:tcW w:type="dxa" w:w="3628"/>
          </w:tcPr>
          <w:p>
            <w:r/>
            <w:r>
              <w:rPr>
                <w:rFonts w:ascii="游ゴシック" w:hAnsi="游ゴシック" w:eastAsia="游ゴシック"/>
                <w:sz w:val="17"/>
              </w:rPr>
              <w:t>指標群別の得点</w:t>
            </w:r>
          </w:p>
        </w:tc>
        <w:tc>
          <w:tcPr>
            <w:tcW w:type="dxa" w:w="1587"/>
          </w:tcPr>
          <w:p>
            <w:r/>
            <w:r>
              <w:rPr>
                <w:rFonts w:ascii="游ゴシック" w:hAnsi="游ゴシック" w:eastAsia="游ゴシック"/>
                <w:sz w:val="17"/>
              </w:rPr>
              <w:t>第3章第4節2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図26-3</w:t>
            </w:r>
          </w:p>
        </w:tc>
        <w:tc>
          <w:tcPr>
            <w:tcW w:type="dxa" w:w="3628"/>
          </w:tcPr>
          <w:p>
            <w:r/>
            <w:r>
              <w:rPr>
                <w:rFonts w:ascii="游ゴシック" w:hAnsi="游ゴシック" w:eastAsia="游ゴシック"/>
                <w:sz w:val="17"/>
              </w:rPr>
              <w:t>目標別の得点 大雪／全国</w:t>
            </w:r>
          </w:p>
        </w:tc>
        <w:tc>
          <w:tcPr>
            <w:tcW w:type="dxa" w:w="1587"/>
          </w:tcPr>
          <w:p>
            <w:r/>
            <w:r>
              <w:rPr>
                <w:rFonts w:ascii="游ゴシック" w:hAnsi="游ゴシック" w:eastAsia="游ゴシック"/>
                <w:sz w:val="17"/>
              </w:rPr>
              <w:t>第3章第4節3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図27</w:t>
            </w:r>
          </w:p>
        </w:tc>
        <w:tc>
          <w:tcPr>
            <w:tcW w:type="dxa" w:w="3628"/>
          </w:tcPr>
          <w:p>
            <w:r/>
            <w:r>
              <w:rPr>
                <w:rFonts w:ascii="游ゴシック" w:hAnsi="游ゴシック" w:eastAsia="游ゴシック"/>
                <w:sz w:val="17"/>
              </w:rPr>
              <w:t>特定地域の基準（75歳以上人口密度）による3町の位置</w:t>
            </w:r>
          </w:p>
        </w:tc>
        <w:tc>
          <w:tcPr>
            <w:tcW w:type="dxa" w:w="1587"/>
          </w:tcPr>
          <w:p>
            <w:r/>
            <w:r>
              <w:rPr>
                <w:rFonts w:ascii="游ゴシック" w:hAnsi="游ゴシック" w:eastAsia="游ゴシック"/>
                <w:sz w:val="17"/>
              </w:rPr>
              <w:t>第1章第9節1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28_特定地域と地域指定</w:t>
            </w:r>
          </w:p>
        </w:tc>
      </w:tr>
      <w:tr>
        <w:tc>
          <w:tcPr>
            <w:tcW w:type="dxa" w:w="1020"/>
          </w:tcPr>
          <w:p>
            <w:r/>
            <w:r>
              <w:rPr>
                <w:rFonts w:ascii="游ゴシック" w:hAnsi="游ゴシック" w:eastAsia="游ゴシック"/>
                <w:sz w:val="17"/>
              </w:rPr>
              <w:t>図28</w:t>
            </w:r>
          </w:p>
        </w:tc>
        <w:tc>
          <w:tcPr>
            <w:tcW w:type="dxa" w:w="3628"/>
          </w:tcPr>
          <w:p>
            <w:r/>
            <w:r>
              <w:rPr>
                <w:rFonts w:ascii="游ゴシック" w:hAnsi="游ゴシック" w:eastAsia="游ゴシック"/>
                <w:sz w:val="17"/>
              </w:rPr>
              <w:t>美瑛町のスクールバス路線別乗車人員</w:t>
            </w:r>
          </w:p>
        </w:tc>
        <w:tc>
          <w:tcPr>
            <w:tcW w:type="dxa" w:w="1587"/>
          </w:tcPr>
          <w:p>
            <w:r/>
            <w:r>
              <w:rPr>
                <w:rFonts w:ascii="游ゴシック" w:hAnsi="游ゴシック" w:eastAsia="游ゴシック"/>
                <w:sz w:val="17"/>
              </w:rPr>
              <w:t>第1章第7節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29_美瑛町の交通</w:t>
            </w:r>
          </w:p>
        </w:tc>
      </w:tr>
      <w:tr>
        <w:tc>
          <w:tcPr>
            <w:tcW w:type="dxa" w:w="1020"/>
          </w:tcPr>
          <w:p>
            <w:r/>
            <w:r>
              <w:rPr>
                <w:rFonts w:ascii="游ゴシック" w:hAnsi="游ゴシック" w:eastAsia="游ゴシック"/>
                <w:sz w:val="17"/>
              </w:rPr>
              <w:t>図29-1</w:t>
            </w:r>
          </w:p>
        </w:tc>
        <w:tc>
          <w:tcPr>
            <w:tcW w:type="dxa" w:w="3628"/>
          </w:tcPr>
          <w:p>
            <w:r/>
            <w:r>
              <w:rPr>
                <w:rFonts w:ascii="游ゴシック" w:hAnsi="游ゴシック" w:eastAsia="游ゴシック"/>
                <w:sz w:val="17"/>
              </w:rPr>
              <w:t>必要保険料月額と条例上の基準額の対比</w:t>
            </w:r>
          </w:p>
        </w:tc>
        <w:tc>
          <w:tcPr>
            <w:tcW w:type="dxa" w:w="1587"/>
          </w:tcPr>
          <w:p>
            <w:r/>
            <w:r>
              <w:rPr>
                <w:rFonts w:ascii="游ゴシック" w:hAnsi="游ゴシック" w:eastAsia="游ゴシック"/>
                <w:sz w:val="17"/>
              </w:rPr>
              <w:t>第6章第6節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図29-2</w:t>
            </w:r>
          </w:p>
        </w:tc>
        <w:tc>
          <w:tcPr>
            <w:tcW w:type="dxa" w:w="3628"/>
          </w:tcPr>
          <w:p>
            <w:r/>
            <w:r>
              <w:rPr>
                <w:rFonts w:ascii="游ゴシック" w:hAnsi="游ゴシック" w:eastAsia="游ゴシック"/>
                <w:sz w:val="17"/>
              </w:rPr>
              <w:t>上川管内21保険者の第9期保険料基準額</w:t>
            </w:r>
          </w:p>
        </w:tc>
        <w:tc>
          <w:tcPr>
            <w:tcW w:type="dxa" w:w="1587"/>
          </w:tcPr>
          <w:p>
            <w:r/>
            <w:r>
              <w:rPr>
                <w:rFonts w:ascii="游ゴシック" w:hAnsi="游ゴシック" w:eastAsia="游ゴシック"/>
                <w:sz w:val="17"/>
              </w:rPr>
              <w:t>第6章第6節1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図30</w:t>
            </w:r>
          </w:p>
        </w:tc>
        <w:tc>
          <w:tcPr>
            <w:tcW w:type="dxa" w:w="3628"/>
          </w:tcPr>
          <w:p>
            <w:r/>
            <w:r>
              <w:rPr>
                <w:rFonts w:ascii="游ゴシック" w:hAnsi="游ゴシック" w:eastAsia="游ゴシック"/>
                <w:sz w:val="17"/>
              </w:rPr>
              <w:t>代表KPI16項目のデータ源の確保状況</w:t>
            </w:r>
          </w:p>
        </w:tc>
        <w:tc>
          <w:tcPr>
            <w:tcW w:type="dxa" w:w="1587"/>
          </w:tcPr>
          <w:p>
            <w:r/>
            <w:r>
              <w:rPr>
                <w:rFonts w:ascii="游ゴシック" w:hAnsi="游ゴシック" w:eastAsia="游ゴシック"/>
                <w:sz w:val="17"/>
              </w:rPr>
              <w:t>第4章第3節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p>
      <w:pPr>
        <w:spacing w:after="160"/>
      </w:pPr>
      <w:r>
        <w:rPr>
          <w:rFonts w:ascii="游ゴシック" w:hAnsi="游ゴシック" w:eastAsia="游ゴシック"/>
          <w:b w:val="0"/>
          <w:sz w:val="17"/>
        </w:rPr>
        <w:t>注1）図表の実体は別冊の図表集（33シート133点）にあります。本文に掲載する33点は、白黒印刷を前提に、色ではなく濃淡・ハッチング・線種・マーカーで系列を区別しています。注2）図表集の「09_ニーズ調査グラフ」には健康とくらしの調査の20指標について年齢階級別・町別あわせて41点を収録しています。本文には主要指標のみを掲載し、残りは資料編又は参考としています。本文に何点まで掲載するかは、成果品仕様（本文約100頁）との関係で委員会にて決定します。注3）図27〜図30は、令和8年7月29日の追加調査により新設した図です。図27は特定地域の基準、図28は訪問・通所困難地域の判定材料、図29は保険料の水準、図30は代表KPIのデータ源の確保状況を示しています。</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本素案の取扱い：本書は、第9期計画の章立てと体裁を踏襲しつつ、第10期の国の検討方向、第9期の課題評価、構成3町の高齢者福祉計画、及び地域包括ケア「見える化」システムのデータによる妥当性検証を反映した第10稿です。第10稿では、第2章にサービス提供体制の節、第3章に交付金評価の節を新設し、第5章をロジックモデルの5層構成に改めました。また、代表KPIのデータ源を指標ごとに確定しました。事業所調査、供給制約、制度改正等が未確定の箇所は、確定値を推測せず［要内訳］［要確認］又は［要協議］と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