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2事業合計では従量課金対象水量の34.9%にこの単価が適用される一方、従量収入に占める割合は10.0%にとどまる（いずれも従量部分を分母とす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この区分を現行の11〜50㎥単価（税抜174円）まで引き上げると、平年度で約8,919千円（現行調定額比 約+20.0%）の増収余地がある。うち従量部分のみの増収は約8,518千円である。</w:t>
            </w:r>
          </w:p>
          <w:p>
            <w:pPr>
              <w:spacing w:after="60" w:line="290"/>
            </w:pPr>
            <w:r>
              <w:rPr>
                <w:rFonts w:ascii="MS Pゴシック" w:cs="MS Pゴシック" w:eastAsia="MS Pゴシック" w:hAnsi="MS Pゴシック"/>
                <w:color w:val="1A1A1A"/>
                <w:sz w:val="20"/>
                <w:szCs w:val="20"/>
              </w:rPr>
              <w:t xml:space="preserve">③ 改定幅は、令和7年度決算の経費回収率49.5%を出発点とし、これを相対的に概ね5〜15%改善する範囲（約52〜57%）で比較する。ポイント改善ではない。</w:t>
            </w:r>
          </w:p>
          <w:p>
            <w:pPr>
              <w:spacing w:after="60" w:line="290"/>
            </w:pPr>
            <w:r>
              <w:rPr>
                <w:rFonts w:ascii="MS Pゴシック" w:cs="MS Pゴシック" w:eastAsia="MS Pゴシック" w:hAnsi="MS Pゴシック"/>
                <w:color w:val="1A1A1A"/>
                <w:sz w:val="20"/>
                <w:szCs w:val="20"/>
              </w:rPr>
              <w:t xml:space="preserve">④ 同じ約10%改善の中で、単価差の縮小をどこまで進めるかにより2案を示す。A案（少量利用配慮型）は税抜 6〜10㎥ 55円／11〜50㎥ 203円、B案（負担均衡型）は同 73円／191円。基本使用料1,008円と51㎥〜220円は共通である。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9,220件（12か月・全件）と令和7年度決算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改定幅の基準は令和7年度決算に置く。令和7年度決算では下水道使用料40,586,357円、経費回収率49.5%、経常収支比率87.5%が公表されている。本資料はこの49.5%を出発点とし、使用料収入の増加により経費回収率を相対的に概ね5〜15%改善する範囲（約52〜57%）を比較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経営戦略の数値は改定幅の直接の根拠としない</w:t>
            </w:r>
          </w:p>
          <w:p>
            <w:pPr>
              <w:spacing w:after="60" w:line="290"/>
            </w:pPr>
            <w:r>
              <w:rPr>
                <w:rFonts w:ascii="MS Pゴシック" w:cs="MS Pゴシック" w:eastAsia="MS Pゴシック" w:hAnsi="MS Pゴシック"/>
                <w:color w:val="1A1A1A"/>
                <w:sz w:val="20"/>
                <w:szCs w:val="20"/>
              </w:rPr>
              <w:t xml:space="preserve">経営戦略は定期的な使用料改定の必要性を示しており、その政策方向は本検討の前提となる。</w:t>
            </w:r>
          </w:p>
          <w:p>
            <w:pPr>
              <w:spacing w:after="60" w:line="290"/>
            </w:pPr>
            <w:r>
              <w:rPr>
                <w:rFonts w:ascii="MS Pゴシック" w:cs="MS Pゴシック" w:eastAsia="MS Pゴシック" w:hAnsi="MS Pゴシック"/>
                <w:color w:val="1A1A1A"/>
                <w:sz w:val="20"/>
                <w:szCs w:val="20"/>
              </w:rPr>
              <w:t xml:space="preserve">一方で、経営戦略の将来推計値には税区分（税込単価を税抜の枠組みに適用）・経費回収率の定義（資本費を含む分母）・有収水量前提の3点で不整合が確認された（第9章）。</w:t>
            </w:r>
          </w:p>
          <w:p>
            <w:pPr>
              <w:spacing w:after="60" w:line="290"/>
            </w:pPr>
            <w:r>
              <w:rPr>
                <w:rFonts w:ascii="MS Pゴシック" w:cs="MS Pゴシック" w:eastAsia="MS Pゴシック" w:hAnsi="MS Pゴシック"/>
                <w:color w:val="1A1A1A"/>
                <w:sz w:val="20"/>
                <w:szCs w:val="20"/>
              </w:rPr>
              <w:t xml:space="preserve">このため、改定幅の算定根拠は経営戦略の将来数値ではなく、令和7年度決算の実績と9,220件の負担分布に置く。</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増収試算は令和7年度の年間全件調定9,220件・44,567,510円（補正推計額）を基礎としている。ただし異動等で水量を特定できない96件・2,001,629円（調定額の4.5%）については、現行額に平均改定率を乗じる簡便法によっている。</w:t>
            </w:r>
          </w:p>
          <w:p>
            <w:pPr>
              <w:spacing w:after="60" w:line="290"/>
            </w:pPr>
            <w:r>
              <w:rPr>
                <w:rFonts w:ascii="MS Pゴシック" w:cs="MS Pゴシック" w:eastAsia="MS Pゴシック" w:hAnsi="MS Pゴシック"/>
                <w:color w:val="1A1A1A"/>
                <w:sz w:val="20"/>
                <w:szCs w:val="20"/>
              </w:rPr>
              <w:t xml:space="preserve">基本水量未満の日割（598件のうち502件・456,776円）は、基本使用料1,008円を据え置く以上いずれの案でも変わらないため、据置として算定している。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基本1,008円＋5㎥を超える分57円）。隔月徴収の場合は、2か月分の税抜使用料を算定したうえで消費税等を加算し、1円未満を切り捨てて請求する。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通常算定レコードの月換算使用量の中央値は公共下水道で10.5㎥であり、ちょうど単価の底にあたる。これは調定レコード単位の中央値であって、利用者・世帯単位の中央値ではない。</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区分別の従量収入シェアと従量課金対象水量シェア（2事業合計・令和7年度）</w:t>
      </w:r>
    </w:p>
    <w:p>
      <w:pPr>
        <w:keepNext/>
        <w:spacing w:after="70" w:before="200"/>
      </w:pPr>
      <w:r>
        <w:rPr>
          <w:rFonts w:ascii="MS Pゴシック" w:cs="MS Pゴシック" w:eastAsia="MS Pゴシック" w:hAnsi="MS Pゴシック"/>
          <w:b/>
          <w:bCs/>
          <w:color w:val="1A1A1A"/>
          <w:sz w:val="19"/>
          <w:szCs w:val="19"/>
        </w:rPr>
        <w:t xml:space="preserve">表2　区分別の収入と従量課金対象水量（2事業合計・令和7年度12か月全件）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600"/>
        <w:gridCol w:w="1650"/>
        <w:gridCol w:w="1650"/>
        <w:gridCol w:w="1700"/>
        <w:gridCol w:w="10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調定額に対する比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従量収入に対する比</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水量比</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19,038,663</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2,300,335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5.2%</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56,525</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34.9%</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16,261,232</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70.5%</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84,964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52.5%</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4,508,875</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19.5%</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20,495</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12.7%</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日割（基本水量未満）</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456,776</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異動等</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2,001,629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合計</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161,984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spacing w:after="200" w:before="40"/>
      </w:pPr>
      <w:r>
        <w:rPr>
          <w:rFonts w:ascii="MS Pゴシック" w:cs="MS Pゴシック" w:eastAsia="MS Pゴシック" w:hAnsi="MS Pゴシック"/>
          <w:color w:val="5F6F74"/>
          <w:sz w:val="17"/>
          <w:szCs w:val="17"/>
        </w:rPr>
        <w:t xml:space="preserve">区分別収入は税抜の構成要素に消費税を加算した額だが、請求単位では1円未満が切り捨てられる。この切捨て差は記録ごとに各成分へ比例配分しており、区分別収入の合計は調定額44,567,510円と一致する。なお公共の日割491件は3月実績からの推計を含むため、この額は補正推計額である。「調定額に対する比」は調定額全体を分母とし、「従量収入に対する比」は従量部分（6〜10㎥・11〜50㎥・51㎥〜の合計23,070,442円）を分母とする。水量比の分母は従量課金対象水量161,984㎥であり、基本水量（1か月5㎥）を超える水量であって全汚水量ではない。水量シェアと対比する際は、分母を揃えた「従量収入に対する比」を用い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2事業合計では、従量課金対象水量の34.9%に6〜10㎥単価が適用される一方、従量収入に占める割合は10.0%である（分母はいずれも従量部分）。</w:t>
            </w:r>
          </w:p>
          <w:p>
            <w:pPr>
              <w:spacing w:after="60" w:line="290"/>
            </w:pPr>
            <w:r>
              <w:rPr>
                <w:rFonts w:ascii="MS Pゴシック" w:cs="MS Pゴシック" w:eastAsia="MS Pゴシック" w:hAnsi="MS Pゴシック"/>
                <w:color w:val="1A1A1A"/>
                <w:sz w:val="20"/>
                <w:szCs w:val="20"/>
              </w:rPr>
              <w:t xml:space="preserve">公共下水道は水量35.2%・従量収入10.0%、漁業集落排水は水量33.7%・従量収入9.6%で、両事業ともほぼ同じ構造である。</w:t>
            </w:r>
          </w:p>
          <w:p>
            <w:pPr>
              <w:spacing w:after="60" w:line="290"/>
            </w:pPr>
            <w:r>
              <w:rPr>
                <w:rFonts w:ascii="MS Pゴシック" w:cs="MS Pゴシック" w:eastAsia="MS Pゴシック" w:hAnsi="MS Pゴシック"/>
                <w:color w:val="1A1A1A"/>
                <w:sz w:val="20"/>
                <w:szCs w:val="20"/>
              </w:rPr>
              <w:t xml:space="preserve">調定額全体（基本使用料・日割等を含む）を分母にすると6〜10㎥は5.2%となるが、これは水量シェアと分母が異なるため、直接対比してはならない。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R7年度12か月・全件</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53,486,483円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8,918,973円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うち従量部分のみ</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8,518,401円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日割・異動等への波及を除く</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+20.0%</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6〜10㎥区分の単価差を解消するだけで、平均増収率20.0%に相当する規模の増収余地がある。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改善レンジと単価差の縮小水準</w:t>
      </w:r>
    </w:p>
    <w:p>
      <w:pPr>
        <w:spacing w:after="120" w:before="0" w:line="300"/>
      </w:pPr>
      <w:r>
        <w:rPr>
          <w:rFonts w:ascii="MS Pゴシック" w:cs="MS Pゴシック" w:eastAsia="MS Pゴシック" w:hAnsi="MS Pゴシック"/>
          <w:color w:val="1A1A1A"/>
          <w:sz w:val="21"/>
          <w:szCs w:val="21"/>
        </w:rPr>
        <w:t xml:space="preserve">令和7年度決算の経費回収率49.5%を出発点とし、これを相対的にどれだけ改善するかで改定幅を整理する。汚水処理費を令和7年度水準で据え置いた静態試算である。</w:t>
      </w:r>
    </w:p>
    <w:p>
      <w:pPr>
        <w:keepNext/>
        <w:spacing w:after="70" w:before="200"/>
      </w:pPr>
      <w:r>
        <w:rPr>
          <w:rFonts w:ascii="MS Pゴシック" w:cs="MS Pゴシック" w:eastAsia="MS Pゴシック" w:hAnsi="MS Pゴシック"/>
          <w:b/>
          <w:bCs/>
          <w:color w:val="1A1A1A"/>
          <w:sz w:val="19"/>
          <w:szCs w:val="19"/>
        </w:rPr>
        <w:t xml:space="preserve">表4　経費回収率の改善レンジと料金案（単価は税抜・1か月）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200"/>
        <w:gridCol w:w="1050"/>
        <w:gridCol w:w="1050"/>
        <w:gridCol w:w="1050"/>
        <w:gridCol w:w="1300"/>
        <w:gridCol w:w="1300"/>
        <w:gridCol w:w="1650"/>
      </w:tblGrid>
      <w:tr>
        <w:trPr>
          <w:tblHeader/>
        </w:trPr>
        <w:tc>
          <w:tcPr>
            <w:tcW w:type="dxa" w:w="2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改善レンジ</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改善幅</w:t>
            </w:r>
          </w:p>
        </w:tc>
      </w:tr>
      <w:tr>
        <w:tc>
          <w:tcPr>
            <w:tcW w:type="dxa" w:w="2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+4.92%</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+2.4ポイント</w:t>
            </w:r>
          </w:p>
        </w:tc>
      </w:tr>
      <w:tr>
        <w:tc>
          <w:tcPr>
            <w:tcW w:type="dxa" w:w="2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約10%改善 A案（少量利用配慮型）</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+5.0ポイント</w:t>
            </w:r>
          </w:p>
        </w:tc>
      </w:tr>
      <w:tr>
        <w:tc>
          <w:tcPr>
            <w:tcW w:type="dxa" w:w="2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約10%改善 B案（負担均衡型）</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+5.0ポイント</w:t>
            </w:r>
          </w:p>
        </w:tc>
      </w:tr>
      <w:tr>
        <w:tc>
          <w:tcPr>
            <w:tcW w:type="dxa" w:w="2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約15%改善（上限ケース）</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+14.97%</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+7.4ポイント</w:t>
            </w:r>
          </w:p>
        </w:tc>
      </w:tr>
    </w:tbl>
    <w:p>
      <w:pPr>
        <w:spacing w:after="200" w:before="40"/>
      </w:pPr>
      <w:r>
        <w:rPr>
          <w:rFonts w:ascii="MS Pゴシック" w:cs="MS Pゴシック" w:eastAsia="MS Pゴシック" w:hAnsi="MS Pゴシック"/>
          <w:color w:val="5F6F74"/>
          <w:sz w:val="17"/>
          <w:szCs w:val="17"/>
        </w:rPr>
        <w:t xml:space="preserve">改善率は経費回収率の「相対改善率」であり、ポイント改善ではない。49.5%×1.10＝54.5%という意味である。仮に+5〜15ポイント改善（54.5〜64.5%）とすると使用料を約+10〜30%引き上げる必要があり、負担が大きく異なる。基本使用料はいずれも1,008円で据置。経費回収率は令和7年度決算の使用料40,586,357円と、49.5%から逆算した汚水処理費約81,993千円による静態試算である。</w:t>
      </w:r>
    </w:p>
    <w:p>
      <w:pPr>
        <w:pStyle w:val="Heading2"/>
        <w:keepNext/>
        <w:spacing w:after="100" w:before="240"/>
      </w:pPr>
      <w:r>
        <w:rPr>
          <w:rFonts w:ascii="MS Pゴシック" w:cs="MS Pゴシック" w:eastAsia="MS Pゴシック" w:hAnsi="MS Pゴシック"/>
          <w:b/>
          <w:bCs/>
          <w:color w:val="12939E"/>
          <w:sz w:val="22"/>
          <w:szCs w:val="22"/>
        </w:rPr>
        <w:t xml:space="preserve">4-1　同じ約10%改善でも、単価差の縮小度合いで負担配分が変わる</w:t>
      </w:r>
    </w:p>
    <w:p>
      <w:pPr>
        <w:spacing w:after="120" w:before="0" w:line="300"/>
      </w:pPr>
      <w:r>
        <w:rPr>
          <w:rFonts w:ascii="MS Pゴシック" w:cs="MS Pゴシック" w:eastAsia="MS Pゴシック" w:hAnsi="MS Pゴシック"/>
          <w:color w:val="1A1A1A"/>
          <w:sz w:val="21"/>
          <w:szCs w:val="21"/>
        </w:rPr>
        <w:t xml:space="preserve">平均増収率を約10%に固定したうえで、6〜10㎥をどこまで引き上げるかを変えると、11〜50㎥はその分だけ抑えられる。6〜10㎥を上げるほど少量利用者の負担が増え、中位帯・大口の負担が軽くなる。</w:t>
      </w:r>
    </w:p>
    <w:p>
      <w:pPr>
        <w:keepNext/>
        <w:spacing w:after="70" w:before="200"/>
      </w:pPr>
      <w:r>
        <w:rPr>
          <w:rFonts w:ascii="MS Pゴシック" w:cs="MS Pゴシック" w:eastAsia="MS Pゴシック" w:hAnsi="MS Pゴシック"/>
          <w:b/>
          <w:bCs/>
          <w:color w:val="1A1A1A"/>
          <w:sz w:val="19"/>
          <w:szCs w:val="19"/>
        </w:rPr>
        <w:t xml:space="preserve">表5　単価差の縮小水準別の料金と負担（平均増収率を約10%に揃えた組合せ）</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縮小なし（一律改定）</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 少量利用配慮型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+48.6%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13.1%</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+7.5%</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+13.0%</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+15.3%</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 負担均衡型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+11.9%</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+10.5%</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+6.3%</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6〜10㎥を174円に揃えると、平均増収率を約10%に保つために11〜50㎥が124円まで下がり、6〜10㎥より安くなる逆転体系となる。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また月10㎥の世帯は+57.4%となる一方、月30㎥以上は減額（月50㎥で−16.1%）となる。</w:t>
            </w:r>
          </w:p>
          <w:p>
            <w:pPr>
              <w:spacing w:after="60" w:line="290"/>
            </w:pPr>
            <w:r>
              <w:rPr>
                <w:rFonts w:ascii="MS Pゴシック" w:cs="MS Pゴシック" w:eastAsia="MS Pゴシック" w:hAnsi="MS Pゴシック"/>
                <w:color w:val="1A1A1A"/>
                <w:sz w:val="20"/>
                <w:szCs w:val="20"/>
              </w:rPr>
              <w:t xml:space="preserve">したがって表5の最下段は実施案ではなく、比較の端点として示すものである。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2案の比較と各家庭への影響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A案・B案の料金表</w:t>
      </w:r>
    </w:p>
    <w:p>
      <w:pPr>
        <w:keepNext/>
        <w:spacing w:after="70" w:before="200"/>
      </w:pPr>
      <w:r>
        <w:rPr>
          <w:rFonts w:ascii="MS Pゴシック" w:cs="MS Pゴシック" w:eastAsia="MS Pゴシック" w:hAnsi="MS Pゴシック"/>
          <w:b/>
          <w:bCs/>
          <w:color w:val="1A1A1A"/>
          <w:sz w:val="19"/>
          <w:szCs w:val="19"/>
        </w:rPr>
        <w:t xml:space="preserve">表6　料金案（条例別表と同じ税抜単価・1か月）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500"/>
        <w:gridCol w:w="1500"/>
        <w:gridCol w:w="1500"/>
        <w:gridCol w:w="1500"/>
        <w:gridCol w:w="15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A案（税込）</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B案（税込）</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6〜10㎥（1㎥につき）</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60.5円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11〜50㎥（1㎥につき）</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174円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223.3円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210.1円</w:t>
            </w:r>
          </w:p>
        </w:tc>
      </w:tr>
      <w:tr>
        <w:tc>
          <w:tcPr>
            <w:tcW w:type="dxa" w:w="2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51㎥〜（1㎥につき）</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bl>
    <w:p>
      <w:pPr>
        <w:spacing w:after="200" w:before="40"/>
      </w:pPr>
      <w:r>
        <w:rPr>
          <w:rFonts w:ascii="MS Pゴシック" w:cs="MS Pゴシック" w:eastAsia="MS Pゴシック" w:hAnsi="MS Pゴシック"/>
          <w:color w:val="5F6F74"/>
          <w:sz w:val="17"/>
          <w:szCs w:val="17"/>
        </w:rPr>
        <w:t xml:space="preserve">税込は条例により税抜額に消費税及び地方消費税を加算して算定した参考表示。実際の請求額は2か月分の税抜使用料を算定したうえで消費税等を加算し、1円未満を切り捨てる。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平均増収率は調定額全体に対する加重平均であり、区分ごとの改定率とは一致しない。</w:t>
            </w:r>
          </w:p>
          <w:p>
            <w:pPr>
              <w:spacing w:after="60" w:line="290"/>
            </w:pPr>
            <w:r>
              <w:rPr>
                <w:rFonts w:ascii="MS Pゴシック" w:cs="MS Pゴシック" w:eastAsia="MS Pゴシック" w:hAnsi="MS Pゴシック"/>
                <w:color w:val="1A1A1A"/>
                <w:sz w:val="20"/>
                <w:szCs w:val="20"/>
              </w:rPr>
              <w:t xml:space="preserve">A案：基本 ±0%／6〜10㎥ +48.6%／11〜50㎥ +16.7%／51㎥〜 +10.0%。</w:t>
            </w:r>
          </w:p>
          <w:p>
            <w:pPr>
              <w:spacing w:after="60" w:line="290"/>
            </w:pPr>
            <w:r>
              <w:rPr>
                <w:rFonts w:ascii="MS Pゴシック" w:cs="MS Pゴシック" w:eastAsia="MS Pゴシック" w:hAnsi="MS Pゴシック"/>
                <w:color w:val="1A1A1A"/>
                <w:sz w:val="20"/>
                <w:szCs w:val="20"/>
              </w:rPr>
              <w:t xml:space="preserve">B案：基本 ±0%／6〜10㎥ +97.3%／11〜50㎥ +9.8%／51㎥〜 +10.0%。</w:t>
            </w:r>
          </w:p>
          <w:p>
            <w:pPr>
              <w:spacing w:after="60" w:line="290"/>
            </w:pPr>
            <w:r>
              <w:rPr>
                <w:rFonts w:ascii="MS Pゴシック" w:cs="MS Pゴシック" w:eastAsia="MS Pゴシック" w:hAnsi="MS Pゴシック"/>
                <w:color w:val="1A1A1A"/>
                <w:sz w:val="20"/>
                <w:szCs w:val="20"/>
              </w:rPr>
              <w:t xml:space="preserve">単価の開きは現行4.70倍から、A案で3.69倍、B案で2.62倍まで縮まる。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2案の性格</w:t>
      </w:r>
    </w:p>
    <w:p>
      <w:pPr>
        <w:spacing w:after="40" w:before="120" w:line="300"/>
      </w:pPr>
      <w:r>
        <w:rPr>
          <w:rFonts w:ascii="MS Pゴシック" w:cs="MS Pゴシック" w:eastAsia="MS Pゴシック" w:hAnsi="MS Pゴシック"/>
          <w:b/>
          <w:bCs/>
          <w:color w:val="1A1A1A"/>
          <w:sz w:val="20"/>
          <w:szCs w:val="20"/>
        </w:rPr>
        <w:t xml:space="preserve">■ A案（少量利用配慮型）　6〜10㎥ 55円／11〜50㎥ 203円</w:t>
      </w:r>
    </w:p>
    <w:p>
      <w:pPr>
        <w:spacing w:after="120" w:before="0" w:line="300"/>
        <w:ind w:left="240"/>
      </w:pPr>
      <w:r>
        <w:rPr>
          <w:rFonts w:ascii="MS Pゴシック" w:cs="MS Pゴシック" w:eastAsia="MS Pゴシック" w:hAnsi="MS Pゴシック"/>
          <w:color w:val="1A1A1A"/>
          <w:sz w:val="21"/>
          <w:szCs w:val="21"/>
        </w:rPr>
        <w:t xml:space="preserve">生活必需的な少量使用の負担増を抑えることを優先する。月10㎥の世帯は+7.5%にとどまるが、その分を中位帯以上が負担し、月50㎥は+15.3%となる。単価差の縮小は13.1%で、6〜10㎥の低単価はかなり残る。</w:t>
      </w:r>
    </w:p>
    <w:p>
      <w:pPr>
        <w:spacing w:after="40" w:before="120" w:line="300"/>
      </w:pPr>
      <w:r>
        <w:rPr>
          <w:rFonts w:ascii="MS Pゴシック" w:cs="MS Pゴシック" w:eastAsia="MS Pゴシック" w:hAnsi="MS Pゴシック"/>
          <w:b/>
          <w:bCs/>
          <w:color w:val="1A1A1A"/>
          <w:sz w:val="20"/>
          <w:szCs w:val="20"/>
        </w:rPr>
        <w:t xml:space="preserve">■ B案（負担均衡型）　6〜10㎥ 73円／11〜50㎥ 191円</w:t>
      </w:r>
    </w:p>
    <w:p>
      <w:pPr>
        <w:spacing w:after="120" w:before="0" w:line="300"/>
        <w:ind w:left="240"/>
      </w:pPr>
      <w:r>
        <w:rPr>
          <w:rFonts w:ascii="MS Pゴシック" w:cs="MS Pゴシック" w:eastAsia="MS Pゴシック" w:hAnsi="MS Pゴシック"/>
          <w:color w:val="1A1A1A"/>
          <w:sz w:val="21"/>
          <w:szCs w:val="21"/>
        </w:rPr>
        <w:t xml:space="preserve">月8㎥から月50㎥までの増加率を概ね+10〜15%の幅に収め、区分間の単価差をより大きく縮める（縮小率26.3%）。一方で月10㎥の世帯は+15.1%となり、少量利用者の負担増はA案より大きい。</w:t>
      </w:r>
    </w:p>
    <w:p>
      <w:pPr>
        <w:spacing w:after="40" w:before="120" w:line="300"/>
      </w:pPr>
      <w:r>
        <w:rPr>
          <w:rFonts w:ascii="MS Pゴシック" w:cs="MS Pゴシック" w:eastAsia="MS Pゴシック" w:hAnsi="MS Pゴシック"/>
          <w:b/>
          <w:bCs/>
          <w:color w:val="1A1A1A"/>
          <w:sz w:val="20"/>
          <w:szCs w:val="20"/>
        </w:rPr>
        <w:t xml:space="preserve">■ どちらを選ぶかは政策軸の問題である</w:t>
      </w:r>
    </w:p>
    <w:p>
      <w:pPr>
        <w:spacing w:after="120" w:before="0" w:line="300"/>
        <w:ind w:left="240"/>
      </w:pPr>
      <w:r>
        <w:rPr>
          <w:rFonts w:ascii="MS Pゴシック" w:cs="MS Pゴシック" w:eastAsia="MS Pゴシック" w:hAnsi="MS Pゴシック"/>
          <w:color w:val="1A1A1A"/>
          <w:sz w:val="21"/>
          <w:szCs w:val="21"/>
        </w:rPr>
        <w:t xml:space="preserve">B案が「最も均等」といえるのは、月8〜50㎥の増加率の幅を小さくするという評価軸においてである。「生活必需的な少量使用を優先して守る」という軸に立てばA案が優れる。両案とも同じ約10%改善であり、経費回収率はいずれも約54.5%となる。</w:t>
      </w:r>
    </w:p>
    <w:p>
      <w:pPr>
        <w:spacing w:after="40" w:before="120" w:line="300"/>
      </w:pPr>
      <w:r>
        <w:rPr>
          <w:rFonts w:ascii="MS Pゴシック" w:cs="MS Pゴシック" w:eastAsia="MS Pゴシック" w:hAnsi="MS Pゴシック"/>
          <w:b/>
          <w:bCs/>
          <w:color w:val="1A1A1A"/>
          <w:sz w:val="20"/>
          <w:szCs w:val="20"/>
        </w:rPr>
        <w:t xml:space="preserve">■ 月5㎥以下は両案とも負担増なし</w:t>
      </w:r>
    </w:p>
    <w:p>
      <w:pPr>
        <w:spacing w:after="120" w:before="0" w:line="300"/>
        <w:ind w:left="240"/>
      </w:pPr>
      <w:r>
        <w:rPr>
          <w:rFonts w:ascii="MS Pゴシック" w:cs="MS Pゴシック" w:eastAsia="MS Pゴシック" w:hAnsi="MS Pゴシック"/>
          <w:color w:val="1A1A1A"/>
          <w:sz w:val="21"/>
          <w:szCs w:val="21"/>
        </w:rPr>
        <w:t xml:space="preserve">基本使用料1,008円を据え置くため、月5㎥以下（2事業合計1,934レコード・全体の21.0%）は両案とも±0%である。ただし月6〜10㎥は2,167レコード・23.5%あり、月10㎥以下でみると全体の44.5%を占める。なおこれは年間の調定レコード数の構成比であり、利用者数・世帯数の割合ではない。したがって本資料の案は「少量利用者に配慮した料金体系」ではなく、「最低使用量帯（月5㎥以下）の負担を据え置きつつ、6〜10㎥区分の単価差を縮小する案」である。</w:t>
      </w:r>
    </w:p>
    <w:p>
      <w:pPr>
        <w:pStyle w:val="Heading2"/>
        <w:keepNext/>
        <w:spacing w:after="100" w:before="240"/>
      </w:pPr>
      <w:r>
        <w:rPr>
          <w:rFonts w:ascii="MS Pゴシック" w:cs="MS Pゴシック" w:eastAsia="MS Pゴシック" w:hAnsi="MS Pゴシック"/>
          <w:b/>
          <w:bCs/>
          <w:color w:val="12939E"/>
          <w:sz w:val="22"/>
          <w:szCs w:val="22"/>
        </w:rPr>
        <w:t xml:space="preserve">5-3　各家庭への影響</w:t>
      </w:r>
    </w:p>
    <w:p>
      <w:pPr>
        <w:spacing w:after="120" w:before="0" w:line="300"/>
      </w:pPr>
      <w:r>
        <w:rPr>
          <w:rFonts w:ascii="MS Pゴシック" w:cs="MS Pゴシック" w:eastAsia="MS Pゴシック" w:hAnsi="MS Pゴシック"/>
          <w:color w:val="1A1A1A"/>
          <w:sz w:val="21"/>
          <w:szCs w:val="21"/>
        </w:rPr>
        <w:t xml:space="preserve">多くの使用者は隔月徴収であり、2か月分の税抜使用料を算定したうえで消費税等を加算し、1円未満を切り捨てて請求する（条例第17条・第18条第3項）。したがって請求額は月額の税込表示を単純に2倍した額とは一致しない。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表7　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500"/>
        <w:gridCol w:w="1500"/>
        <w:gridCol w:w="1200"/>
        <w:gridCol w:w="1500"/>
        <w:gridCol w:w="12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A案（2か月）</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B案（2か月）</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2,580円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2,822円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5,055円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5,121円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7,288円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7,222円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+11.9%</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9,521円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9,323円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11,754円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+14.3%</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11,424円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+11.1%</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16,220円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15,626円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20,686円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+15.3%</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19,828円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44,886円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44,028円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w:t>
            </w:r>
          </w:p>
        </w:tc>
      </w:tr>
    </w:tbl>
    <w:p>
      <w:pPr>
        <w:spacing w:after="200" w:before="40"/>
      </w:pPr>
      <w:r>
        <w:rPr>
          <w:rFonts w:ascii="MS Pゴシック" w:cs="MS Pゴシック" w:eastAsia="MS Pゴシック" w:hAnsi="MS Pゴシック"/>
          <w:color w:val="5F6F74"/>
          <w:sz w:val="17"/>
          <w:szCs w:val="17"/>
        </w:rPr>
        <w:t xml:space="preserve">参考イメージ：月5〜10㎥は少量利用、月15〜30㎥は中位帯、月40㎥以上は多量利用にあたる。ただし水量帯と世帯人数・年齢の対応関係は調定データから確認できない。</w:t>
      </w:r>
    </w:p>
    <w:p>
      <w:pPr>
        <w:pStyle w:val="Heading2"/>
        <w:keepNext/>
        <w:spacing w:after="100" w:before="240"/>
      </w:pPr>
      <w:r>
        <w:rPr>
          <w:rFonts w:ascii="MS Pゴシック" w:cs="MS Pゴシック" w:eastAsia="MS Pゴシック" w:hAnsi="MS Pゴシック"/>
          <w:b/>
          <w:bCs/>
          <w:color w:val="12939E"/>
          <w:sz w:val="22"/>
          <w:szCs w:val="22"/>
        </w:rPr>
        <w:t xml:space="preserve">5-4　どの使用量帯がどれだけあるか</w:t>
      </w:r>
    </w:p>
    <w:p>
      <w:pPr>
        <w:keepNext/>
        <w:spacing w:after="70" w:before="200"/>
      </w:pPr>
      <w:r>
        <w:rPr>
          <w:rFonts w:ascii="MS Pゴシック" w:cs="MS Pゴシック" w:eastAsia="MS Pゴシック" w:hAnsi="MS Pゴシック"/>
          <w:b/>
          <w:bCs/>
          <w:color w:val="1A1A1A"/>
          <w:sz w:val="19"/>
          <w:szCs w:val="19"/>
        </w:rPr>
        <w:t xml:space="preserve">表8　月使用量帯別の構成（令和7年度・12か月全件）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1250"/>
        <w:gridCol w:w="1250"/>
        <w:gridCol w:w="1250"/>
        <w:gridCol w:w="1450"/>
        <w:gridCol w:w="1450"/>
        <w:gridCol w:w="145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構成比</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構成比</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金額%</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277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8.3%</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30.6%</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35.2%</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29.9%</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250</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27.8%</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3.3%</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96</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0.5%</w:t>
            </w:r>
          </w:p>
        </w:tc>
      </w:tr>
    </w:tbl>
    <w:p>
      <w:pPr>
        <w:spacing w:after="200" w:before="40"/>
      </w:pPr>
      <w:r>
        <w:rPr>
          <w:rFonts w:ascii="MS Pゴシック" w:cs="MS Pゴシック" w:eastAsia="MS Pゴシック" w:hAnsi="MS Pゴシック"/>
          <w:color w:val="5F6F74"/>
          <w:sz w:val="17"/>
          <w:szCs w:val="17"/>
        </w:rPr>
        <w:t xml:space="preserve">件数は年間の調定レコード数であり、利用者数・世帯数ではない。同じ利用者が隔月検針なら年6回、毎月検針なら年12回カウントされるため、構成比は契約者構成とは一致しない。据置となる月5㎥以下は2事業合計1,934レコード（全体の21.0%）、月6〜10㎥は2,167レコード（23.5%）で、両者で44.5%を占める。月51㎥〜は公共96レコード（1.2%）で金額の14.4%を占めており、件数は少ないが金額の寄与は小さくない。水量帯と世帯人数・年齢の対応関係は調定データから確認できないため、世帯像は付していない。</w:t>
      </w:r>
    </w:p>
    <w:p>
      <w:pPr>
        <w:pStyle w:val="Heading2"/>
        <w:keepNext/>
        <w:spacing w:after="100" w:before="240"/>
      </w:pPr>
      <w:r>
        <w:rPr>
          <w:rFonts w:ascii="MS Pゴシック" w:cs="MS Pゴシック" w:eastAsia="MS Pゴシック" w:hAnsi="MS Pゴシック"/>
          <w:b/>
          <w:bCs/>
          <w:color w:val="12939E"/>
          <w:sz w:val="22"/>
          <w:szCs w:val="22"/>
        </w:rPr>
        <w:t xml:space="preserve">5-5　一律改定（全体改定率）との比較</w:t>
      </w:r>
    </w:p>
    <w:p>
      <w:pPr>
        <w:spacing w:after="120" w:before="0" w:line="300"/>
      </w:pPr>
      <w:r>
        <w:rPr>
          <w:rFonts w:ascii="MS Pゴシック" w:cs="MS Pゴシック" w:eastAsia="MS Pゴシック" w:hAnsi="MS Pゴシック"/>
          <w:color w:val="1A1A1A"/>
          <w:sz w:val="21"/>
          <w:szCs w:val="21"/>
        </w:rPr>
        <w:t xml:space="preserve">経営戦略の収支シミュレーションは、使用料収入全体に一律の改定率を乗じて将来値を置いている。同じ考え方で現行料金表の全単価を一律に引き上げた場合の影響を示す。</w:t>
      </w:r>
    </w:p>
    <w:p>
      <w:pPr>
        <w:keepNext/>
        <w:spacing w:after="70" w:before="200"/>
      </w:pPr>
      <w:r>
        <w:rPr>
          <w:rFonts w:ascii="MS Pゴシック" w:cs="MS Pゴシック" w:eastAsia="MS Pゴシック" w:hAnsi="MS Pゴシック"/>
          <w:b/>
          <w:bCs/>
          <w:color w:val="1A1A1A"/>
          <w:sz w:val="19"/>
          <w:szCs w:val="19"/>
        </w:rPr>
        <w:t xml:space="preserve">表9　一律改定（全体改定率）の料金表と収入への影響</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50"/>
        <w:gridCol w:w="1300"/>
        <w:gridCol w:w="1000"/>
        <w:gridCol w:w="1150"/>
        <w:gridCol w:w="1000"/>
        <w:gridCol w:w="1150"/>
        <w:gridCol w:w="1400"/>
        <w:gridCol w:w="1450"/>
      </w:tblGrid>
      <w:tr>
        <w:trPr>
          <w:tblHeader/>
        </w:trPr>
        <w:tc>
          <w:tcPr>
            <w:tcW w:type="dxa" w:w="11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平年度増収額（税込）</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r>
      <w:tr>
        <w:tc>
          <w:tcPr>
            <w:tcW w:type="dxa" w:w="11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r>
      <w:tr>
        <w:tc>
          <w:tcPr>
            <w:tcW w:type="dxa" w:w="11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1,058円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2,258,063円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52.0%</w:t>
            </w:r>
          </w:p>
        </w:tc>
      </w:tr>
      <w:tr>
        <w:tc>
          <w:tcPr>
            <w:tcW w:type="dxa" w:w="11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1,109円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41円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+9.97%</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4,441,559円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54.4%</w:t>
            </w:r>
          </w:p>
        </w:tc>
      </w:tr>
      <w:tr>
        <w:tc>
          <w:tcPr>
            <w:tcW w:type="dxa" w:w="11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1,159円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+15.03%</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6,698,369円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r>
    </w:tbl>
    <w:p>
      <w:pPr>
        <w:spacing w:after="200" w:before="40"/>
      </w:pPr>
      <w:r>
        <w:rPr>
          <w:rFonts w:ascii="MS Pゴシック" w:cs="MS Pゴシック" w:eastAsia="MS Pゴシック" w:hAnsi="MS Pゴシック"/>
          <w:color w:val="5F6F74"/>
          <w:sz w:val="17"/>
          <w:szCs w:val="17"/>
        </w:rPr>
        <w:t xml:space="preserve">単価は税抜。条例別表は整数で定めるため、現行単価に（1＋改定率）を乗じて四捨五入した。この端数処理により実際の平均増収率は改定率と厳密には一致しない。税抜の増収額は+5%で2,052,785円、+10%で4,037,780円、+15%で6,089,426円。一律改定では基本使用料も引き上げるため、基本水量未満の日割額も改定率どおり増える点が構造見直し案と異なる。</w:t>
      </w:r>
    </w:p>
    <w:p>
      <w:pPr>
        <w:keepNext/>
        <w:spacing w:after="70" w:before="200"/>
      </w:pPr>
      <w:r>
        <w:rPr>
          <w:rFonts w:ascii="MS Pゴシック" w:cs="MS Pゴシック" w:eastAsia="MS Pゴシック" w:hAnsi="MS Pゴシック"/>
          <w:b/>
          <w:bCs/>
          <w:color w:val="1A1A1A"/>
          <w:sz w:val="19"/>
          <w:szCs w:val="19"/>
        </w:rPr>
        <w:t xml:space="preserve">表10　一律改定における2か月請求額の変化（一般汚水・税込）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200"/>
        <w:gridCol w:w="1400"/>
        <w:gridCol w:w="1300"/>
        <w:gridCol w:w="1050"/>
        <w:gridCol w:w="1300"/>
        <w:gridCol w:w="1050"/>
        <w:gridCol w:w="1300"/>
        <w:gridCol w:w="1000"/>
      </w:tblGrid>
      <w:tr>
        <w:trPr>
          <w:tblHeader/>
        </w:trPr>
        <w:tc>
          <w:tcPr>
            <w:tcW w:type="dxa" w:w="1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+15%</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2,327円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2,439円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2,549円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+15.0%</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2,585円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2,710円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2,833円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r>
      <w:tr>
        <w:tc>
          <w:tcPr>
            <w:tcW w:type="dxa" w:w="1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2,756円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2,890円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+15.2%</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4,769円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4,991円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r>
      <w:tr>
        <w:tc>
          <w:tcPr>
            <w:tcW w:type="dxa" w:w="1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6,782円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7,092円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10,808円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11,294円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11,822円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r>
        <w:tc>
          <w:tcPr>
            <w:tcW w:type="dxa" w:w="1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18,860円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19,698円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41,960円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43,898円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45,922円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bl>
    <w:p>
      <w:pPr>
        <w:spacing w:after="200" w:before="40"/>
      </w:pPr>
      <w:r>
        <w:rPr>
          <w:rFonts w:ascii="MS Pゴシック" w:cs="MS Pゴシック" w:eastAsia="MS Pゴシック" w:hAnsi="MS Pゴシック"/>
          <w:color w:val="5F6F74"/>
          <w:sz w:val="17"/>
          <w:szCs w:val="17"/>
        </w:rPr>
        <w:t xml:space="preserve">一律改定では、どの使用量帯もほぼ改定率どおりの負担増となる。月5㎥以下の1,934レコード（全体の21.0%）も改定率どおり増える点が構造見直し案との最大の違いである。</w:t>
      </w:r>
    </w:p>
    <w:p>
      <w:pPr>
        <w:keepNext/>
        <w:spacing w:after="70" w:before="200"/>
      </w:pPr>
      <w:r>
        <w:rPr>
          <w:rFonts w:ascii="MS Pゴシック" w:cs="MS Pゴシック" w:eastAsia="MS Pゴシック" w:hAnsi="MS Pゴシック"/>
          <w:b/>
          <w:bCs/>
          <w:color w:val="1A1A1A"/>
          <w:sz w:val="19"/>
          <w:szCs w:val="19"/>
        </w:rPr>
        <w:t xml:space="preserve">表11　同じ約10%増収での3案比較</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00"/>
        <w:gridCol w:w="1100"/>
        <w:gridCol w:w="1000"/>
        <w:gridCol w:w="1100"/>
        <w:gridCol w:w="950"/>
        <w:gridCol w:w="950"/>
        <w:gridCol w:w="1300"/>
        <w:gridCol w:w="1300"/>
      </w:tblGrid>
      <w:tr>
        <w:trPr>
          <w:tblHeader/>
        </w:trPr>
        <w:tc>
          <w:tcPr>
            <w:tcW w:type="dxa" w:w="19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案</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一律改定 +10%</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1,109円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41円</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191円</w:t>
            </w:r>
          </w:p>
        </w:tc>
        <w:tc>
          <w:tcPr>
            <w:tcW w:type="dxa" w:w="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4.66倍</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+9.97%</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4,441,559円</w:t>
            </w:r>
          </w:p>
        </w:tc>
      </w:tr>
      <w:tr>
        <w:tc>
          <w:tcPr>
            <w:tcW w:type="dxa" w:w="1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 少量利用配慮型</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3.69倍</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4,481,621円</w:t>
            </w:r>
          </w:p>
        </w:tc>
      </w:tr>
      <w:tr>
        <w:tc>
          <w:tcPr>
            <w:tcW w:type="dxa" w:w="1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 負担均衡型</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2.62倍</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4,478,920円</w:t>
            </w:r>
          </w:p>
        </w:tc>
      </w:tr>
    </w:tbl>
    <w:p>
      <w:pPr>
        <w:spacing w:after="200" w:before="40"/>
      </w:pPr>
      <w:r>
        <w:rPr>
          <w:rFonts w:ascii="MS Pゴシック" w:cs="MS Pゴシック" w:eastAsia="MS Pゴシック" w:hAnsi="MS Pゴシック"/>
          <w:color w:val="5F6F74"/>
          <w:sz w:val="17"/>
          <w:szCs w:val="17"/>
        </w:rPr>
        <w:t xml:space="preserve">単価は税抜。3案とも増収額はほぼ同じで、経費回収率もいずれも約54.4〜54.5%となる。異なるのは負担の配分だけである。</w:t>
      </w:r>
    </w:p>
    <w:p>
      <w:pPr>
        <w:keepNext/>
        <w:spacing w:after="70" w:before="200"/>
      </w:pPr>
      <w:r>
        <w:rPr>
          <w:rFonts w:ascii="MS Pゴシック" w:cs="MS Pゴシック" w:eastAsia="MS Pゴシック" w:hAnsi="MS Pゴシック"/>
          <w:b/>
          <w:bCs/>
          <w:color w:val="1A1A1A"/>
          <w:sz w:val="19"/>
          <w:szCs w:val="19"/>
        </w:rPr>
        <w:t xml:space="preserve">表12　使用量帯別にみた3案の負担増（代表値・2か月請求額）</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1150"/>
        <w:gridCol w:w="1100"/>
        <w:gridCol w:w="1650"/>
        <w:gridCol w:w="1800"/>
        <w:gridCol w:w="1600"/>
        <w:gridCol w:w="80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件数</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構成比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一律改定 +10%</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 少量利用配慮型</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 負担均衡型</w:t>
            </w:r>
          </w:p>
        </w:tc>
        <w:tc>
          <w:tcPr>
            <w:tcW w:type="dxa" w:w="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代表値</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1,934件</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2,167件</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+4.8%</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w:t>
            </w:r>
          </w:p>
        </w:tc>
        <w:tc>
          <w:tcPr>
            <w:tcW w:type="dxa" w:w="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2,889件</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31.3%</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c>
          <w:tcPr>
            <w:tcW w:type="dxa" w:w="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1,188件</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+13.8%</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c>
          <w:tcPr>
            <w:tcW w:type="dxa" w:w="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324件</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+10.8%</w:t>
            </w:r>
          </w:p>
        </w:tc>
        <w:tc>
          <w:tcPr>
            <w:tcW w:type="dxa" w:w="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120件</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w:t>
            </w:r>
          </w:p>
        </w:tc>
        <w:tc>
          <w:tcPr>
            <w:tcW w:type="dxa" w:w="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598件</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一律改定は全帯ほぼ改定率どおりで、6〜10㎥と11〜50㎥の単価の開きは4.70倍から4.66倍にしか縮まらない。構造見直し案は月5㎥以下と日割を据え置くかわりに、中位帯以上（A案）または6〜10㎥（B案）の負担が一律改定より大きくな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一律改定と構造見直しの使い分け</w:t>
            </w:r>
          </w:p>
          <w:p>
            <w:pPr>
              <w:spacing w:after="60" w:line="290"/>
            </w:pPr>
            <w:r>
              <w:rPr>
                <w:rFonts w:ascii="MS Pゴシック" w:cs="MS Pゴシック" w:eastAsia="MS Pゴシック" w:hAnsi="MS Pゴシック"/>
                <w:color w:val="1A1A1A"/>
                <w:sz w:val="20"/>
                <w:szCs w:val="20"/>
              </w:rPr>
              <w:t xml:space="preserve">増収額と経費回収率の改善幅は、どの方法でもほぼ同じである（約10%改善でいずれも54.4〜54.5%）。選択の論点は収入額ではなく負担の配分にある。</w:t>
            </w:r>
          </w:p>
          <w:p>
            <w:pPr>
              <w:spacing w:after="60" w:line="290"/>
            </w:pPr>
            <w:r>
              <w:rPr>
                <w:rFonts w:ascii="MS Pゴシック" w:cs="MS Pゴシック" w:eastAsia="MS Pゴシック" w:hAnsi="MS Pゴシック"/>
                <w:color w:val="1A1A1A"/>
                <w:sz w:val="20"/>
                <w:szCs w:val="20"/>
              </w:rPr>
              <w:t xml:space="preserve">一律改定は分かりやすく、全使用者が同率で負担する点で公平と説明しやすい。ただし6〜10㎥の単価が11〜50㎥の4.7分の1という現行体系の偏りはそのまま残る。</w:t>
            </w:r>
          </w:p>
          <w:p>
            <w:pPr>
              <w:spacing w:after="60" w:line="290"/>
            </w:pPr>
            <w:r>
              <w:rPr>
                <w:rFonts w:ascii="MS Pゴシック" w:cs="MS Pゴシック" w:eastAsia="MS Pゴシック" w:hAnsi="MS Pゴシック"/>
                <w:color w:val="1A1A1A"/>
                <w:sz w:val="20"/>
                <w:szCs w:val="20"/>
              </w:rPr>
              <w:t xml:space="preserve">構造見直し案は月5㎥以下（1,934件・21.0%）と日割を据え置けるが、その分を他の帯が負担する。6〜10㎥の偏りは縮小する。</w:t>
            </w:r>
          </w:p>
          <w:p>
            <w:pPr>
              <w:spacing w:after="60" w:line="290"/>
            </w:pPr>
            <w:r>
              <w:rPr>
                <w:rFonts w:ascii="MS Pゴシック" w:cs="MS Pゴシック" w:eastAsia="MS Pゴシック" w:hAnsi="MS Pゴシック"/>
                <w:color w:val="1A1A1A"/>
                <w:sz w:val="20"/>
                <w:szCs w:val="20"/>
              </w:rPr>
              <w:t xml:space="preserve">5%・15%でも同じ関係が成り立つ。約5%では一律+5.07%（増収2,258千円）に対し構造見直し+4.92%（同2,191千円）、約15%では一律+15.03%（同6,698千円）に対し構造見直し+14.97%（同6,671千円）である。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平年度増収額と経費回収率</w:t>
      </w:r>
    </w:p>
    <w:p>
      <w:pPr>
        <w:keepNext/>
        <w:spacing w:after="70" w:before="200"/>
      </w:pPr>
      <w:r>
        <w:rPr>
          <w:rFonts w:ascii="MS Pゴシック" w:cs="MS Pゴシック" w:eastAsia="MS Pゴシック" w:hAnsi="MS Pゴシック"/>
          <w:b/>
          <w:bCs/>
          <w:color w:val="1A1A1A"/>
          <w:sz w:val="19"/>
          <w:szCs w:val="19"/>
        </w:rPr>
        <w:t xml:space="preserve">表13　料金案別の平年度増収額と経費回収率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700"/>
        <w:gridCol w:w="2000"/>
        <w:gridCol w:w="1800"/>
        <w:gridCol w:w="1600"/>
        <w:gridCol w:w="1500"/>
      </w:tblGrid>
      <w:tr>
        <w:trPr>
          <w:tblHeader/>
        </w:trPr>
        <w:tc>
          <w:tcPr>
            <w:tcW w:type="dxa" w:w="2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2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平年度増収額（税込）</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同（税抜）</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2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r>
      <w:tr>
        <w:tc>
          <w:tcPr>
            <w:tcW w:type="dxa" w:w="2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2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2,190,879円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1,991,709円</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A案（約10%改善）</w:t>
            </w:r>
          </w:p>
        </w:tc>
        <w:tc>
          <w:tcPr>
            <w:tcW w:type="dxa" w:w="2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4,481,621円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4,074,201円</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B案（約10%改善）</w:t>
            </w:r>
          </w:p>
        </w:tc>
        <w:tc>
          <w:tcPr>
            <w:tcW w:type="dxa" w:w="2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4,478,920円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4,071,745円</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約15%改善（上限）</w:t>
            </w:r>
          </w:p>
        </w:tc>
        <w:tc>
          <w:tcPr>
            <w:tcW w:type="dxa" w:w="2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6,671,497円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6,064,997円</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+14.97%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12か月・全件の調定分布に新料金を当てたもの）。施行日が未定のため初年度影響額は別途算定が必要。経費回収率の「49.5%」は令和7年度決算の公表値であり、改定後は汚水処理費を令和7年度水準（約81,993千円）で据え置いた静態試算である。事業別の参考値（令和6年度決算統計ベース）は別添の試算エビデンスによる。</w:t>
      </w:r>
    </w:p>
    <w:p>
      <w:pPr>
        <w:keepNext/>
        <w:spacing w:after="70" w:before="200"/>
      </w:pPr>
      <w:r>
        <w:rPr>
          <w:rFonts w:ascii="MS Pゴシック" w:cs="MS Pゴシック" w:eastAsia="MS Pゴシック" w:hAnsi="MS Pゴシック"/>
          <w:b/>
          <w:bCs/>
          <w:color w:val="1A1A1A"/>
          <w:sz w:val="19"/>
          <w:szCs w:val="19"/>
        </w:rPr>
        <w:t xml:space="preserve">表14　繰入金の扱いによる経常収支比率への効果の違い</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600"/>
        <w:gridCol w:w="1600"/>
        <w:gridCol w:w="1700"/>
        <w:gridCol w:w="1850"/>
        <w:gridCol w:w="1850"/>
      </w:tblGrid>
      <w:tr>
        <w:trPr>
          <w:tblHeader/>
        </w:trPr>
        <w:tc>
          <w:tcPr>
            <w:tcW w:type="dxa" w:w="26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増収額（税抜・決算ベース）</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c>
          <w:tcPr>
            <w:tcW w:type="dxa" w:w="18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①繰入金を据え置く場合</w:t>
            </w:r>
          </w:p>
        </w:tc>
        <w:tc>
          <w:tcPr>
            <w:tcW w:type="dxa" w:w="18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②増収分だけ基準外繰入金を減額する場合</w:t>
            </w:r>
          </w:p>
        </w:tc>
      </w:tr>
      <w:tr>
        <w:tc>
          <w:tcPr>
            <w:tcW w:type="dxa" w:w="26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r>
      <w:tr>
        <w:tc>
          <w:tcPr>
            <w:tcW w:type="dxa" w:w="26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1,997千円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c>
          <w:tcPr>
            <w:tcW w:type="dxa" w:w="18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88.3%</w:t>
            </w:r>
          </w:p>
        </w:tc>
        <w:tc>
          <w:tcPr>
            <w:tcW w:type="dxa" w:w="18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r>
      <w:tr>
        <w:tc>
          <w:tcPr>
            <w:tcW w:type="dxa" w:w="26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A案（約10%）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4,083千円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89.0%</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87.5%</w:t>
            </w:r>
          </w:p>
        </w:tc>
      </w:tr>
      <w:tr>
        <w:tc>
          <w:tcPr>
            <w:tcW w:type="dxa" w:w="26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B案（約10%）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4,079千円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89.0%</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87.5%</w:t>
            </w:r>
          </w:p>
        </w:tc>
      </w:tr>
      <w:tr>
        <w:tc>
          <w:tcPr>
            <w:tcW w:type="dxa" w:w="26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6,076千円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89.8%</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r>
    </w:tbl>
    <w:p>
      <w:pPr>
        <w:spacing w:after="200" w:before="40"/>
      </w:pPr>
      <w:r>
        <w:rPr>
          <w:rFonts w:ascii="MS Pゴシック" w:cs="MS Pゴシック" w:eastAsia="MS Pゴシック" w:hAnsi="MS Pゴシック"/>
          <w:color w:val="5F6F74"/>
          <w:sz w:val="17"/>
          <w:szCs w:val="17"/>
        </w:rPr>
        <w:t xml:space="preserve">経常収支比率は令和7年度決算の経常収益237,340千円÷経常費用271,139千円＝87.5%を基礎とした静態試算。①は経常収益に増収額を上乗せして再計算したものである。本表の増収額は、経常収益と分母を揃えるため令和7年度決算の使用料収入40,586千円（税抜）に表13の平均増収率を乗じた額であり、調定分布から積み上げた表13の税抜増収額（A案4,074千円等）とは基礎が異なるため数千円単位で一致しない。経費回収率は使用料収入÷汚水処理費であり繰入金を含まないため、①②いずれでも同じ値にな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分流式下水道等に要する経費（基準内繰入金）は今回の改定率では減らない</w:t>
            </w:r>
          </w:p>
          <w:p>
            <w:pPr>
              <w:spacing w:after="60" w:line="290"/>
            </w:pPr>
            <w:r>
              <w:rPr>
                <w:rFonts w:ascii="MS Pゴシック" w:cs="MS Pゴシック" w:eastAsia="MS Pゴシック" w:hAnsi="MS Pゴシック"/>
                <w:color w:val="1A1A1A"/>
                <w:sz w:val="20"/>
                <w:szCs w:val="20"/>
              </w:rPr>
              <w:t xml:space="preserve">繰出基準では、使用料対象資本費＝max(0, 使用料収入−汚水維持管理費)とされ、分流式下水道等に要する経費は資本費からこれを控除した額となる。使用料収入が増えれば基準内繰入金が減るのは、使用料収入が汚水維持管理費を上回ってからである。</w:t>
            </w:r>
          </w:p>
          <w:p>
            <w:pPr>
              <w:spacing w:after="60" w:line="290"/>
            </w:pPr>
            <w:r>
              <w:rPr>
                <w:rFonts w:ascii="MS Pゴシック" w:cs="MS Pゴシック" w:eastAsia="MS Pゴシック" w:hAnsi="MS Pゴシック"/>
                <w:color w:val="1A1A1A"/>
                <w:sz w:val="20"/>
                <w:szCs w:val="20"/>
              </w:rPr>
              <w:t xml:space="preserve">令和7年度は使用料収入40,586千円に対し汚水維持管理費が約81,993千円であり、使用料対象資本費はゼロである。+15%改定でも46,662千円にとどまり、汚水維持管理費を超えるには約2.02倍（+102%）の水準が必要になる。事業別でも公共2.00倍・漁業集落排水2.89倍である。</w:t>
            </w:r>
          </w:p>
          <w:p>
            <w:pPr>
              <w:spacing w:after="60" w:line="290"/>
            </w:pPr>
            <w:r>
              <w:rPr>
                <w:rFonts w:ascii="MS Pゴシック" w:cs="MS Pゴシック" w:eastAsia="MS Pゴシック" w:hAnsi="MS Pゴシック"/>
                <w:color w:val="1A1A1A"/>
                <w:sz w:val="20"/>
                <w:szCs w:val="20"/>
              </w:rPr>
              <w:t xml:space="preserve">したがって今回検討する5〜15%の範囲では、繰出基準上は基準内繰入金は減額されず、増収分はそのまま経常収益の増加となる（表14の①）。</w:t>
            </w:r>
          </w:p>
          <w:p>
            <w:pPr>
              <w:spacing w:after="60" w:line="290"/>
            </w:pPr>
            <w:r>
              <w:rPr>
                <w:rFonts w:ascii="MS Pゴシック" w:cs="MS Pゴシック" w:eastAsia="MS Pゴシック" w:hAnsi="MS Pゴシック"/>
                <w:color w:val="1A1A1A"/>
                <w:sz w:val="20"/>
                <w:szCs w:val="20"/>
              </w:rPr>
              <w:t xml:space="preserve">ただし基準外繰入金を増収分だけ減額するという政策判断を採る場合は、経常収支比率は87.5%のまま変わらない（表14の②）。この場合は一般会計の負担が同額軽減される。どちらを採るかは繰出基準ではなく町の財政運営の判断である。</w:t>
            </w:r>
          </w:p>
          <w:p>
            <w:pPr>
              <w:spacing w:after="60" w:line="290"/>
            </w:pPr>
            <w:r>
              <w:rPr>
                <w:rFonts w:ascii="MS Pゴシック" w:cs="MS Pゴシック" w:eastAsia="MS Pゴシック" w:hAnsi="MS Pゴシック"/>
                <w:color w:val="1A1A1A"/>
                <w:sz w:val="20"/>
                <w:szCs w:val="20"/>
              </w:rPr>
              <w:t xml:space="preserve">いずれの場合も経費回収率は改善する。経費回収率は使用料収入と汚水処理費だけで決まり、繰入金の扱いに左右されないためである。</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繰入金への影響（静態試算）</w:t>
            </w:r>
          </w:p>
          <w:p>
            <w:pPr>
              <w:spacing w:after="60" w:line="290"/>
            </w:pPr>
            <w:r>
              <w:rPr>
                <w:rFonts w:ascii="MS Pゴシック" w:cs="MS Pゴシック" w:eastAsia="MS Pゴシック" w:hAnsi="MS Pゴシック"/>
                <w:color w:val="1A1A1A"/>
                <w:sz w:val="20"/>
                <w:szCs w:val="20"/>
              </w:rPr>
              <w:t xml:space="preserve">令和6年度決算の費用構成を固定した静態試算では、平均増収率+15%程度までは使用料対象資本費が発生せず、基準内繰入額に影響しない。</w:t>
            </w:r>
          </w:p>
          <w:p>
            <w:pPr>
              <w:spacing w:after="60" w:line="290"/>
            </w:pPr>
            <w:r>
              <w:rPr>
                <w:rFonts w:ascii="MS Pゴシック" w:cs="MS Pゴシック" w:eastAsia="MS Pゴシック" w:hAnsi="MS Pゴシック"/>
                <w:color w:val="1A1A1A"/>
                <w:sz w:val="20"/>
                <w:szCs w:val="20"/>
              </w:rPr>
              <w:t xml:space="preserve">分流式下水道等に要する経費は「基準額のうち使用料収入で賄いきれない分」として満額繰入となっており、この状態が続くためである。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基準内繰入金が減り始めるのは使用料収入が汚水維持管理費を超えたとき（公共で現行の2.00倍、漁業集落排水で2.71倍）であり、今回の改定率では届かない。</w:t>
            </w:r>
          </w:p>
          <w:p>
            <w:pPr>
              <w:spacing w:after="60" w:line="290"/>
            </w:pPr>
            <w:r>
              <w:rPr>
                <w:rFonts w:ascii="MS Pゴシック" w:cs="MS Pゴシック" w:eastAsia="MS Pゴシック" w:hAnsi="MS Pゴシック"/>
                <w:color w:val="1A1A1A"/>
                <w:sz w:val="20"/>
                <w:szCs w:val="20"/>
              </w:rPr>
              <w:t xml:space="preserve">ただし令和13年度までの見通しとする場合は、減価償却費・支払利息・長期前受金戻入等が変動するため、年度別に再計算する必要がある。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6〜10㎥の単価差を一度に解消すると逆転体系となるため、複数回の改定に分けて縮小する。次表はB案（負担均衡型）を第1段階とした場合の例である。</w:t>
      </w:r>
    </w:p>
    <w:p>
      <w:pPr>
        <w:keepNext/>
        <w:spacing w:after="70" w:before="200"/>
      </w:pPr>
      <w:r>
        <w:rPr>
          <w:rFonts w:ascii="MS Pゴシック" w:cs="MS Pゴシック" w:eastAsia="MS Pゴシック" w:hAnsi="MS Pゴシック"/>
          <w:b/>
          <w:bCs/>
          <w:color w:val="1A1A1A"/>
          <w:sz w:val="19"/>
          <w:szCs w:val="19"/>
        </w:rPr>
        <w:t xml:space="preserve">表15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第1段階（B案）</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第2段階（参考）</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基本使用料はいずれの段階も1,008円で据置、51㎥〜は第1段階220円・第2段階240円。第2段階の経費回収率は約59.3%（令和7年度49.5%から相対約20%改善）となる。</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現行4.70倍の開きは、第1段階で2.62倍、第2段階で1.90倍まで縮まる。2段階を経ても同単価には至らないが、時間をかけて偏りを改善できる。</w:t>
      </w:r>
    </w:p>
    <w:p>
      <w:pPr>
        <w:keepNext/>
        <w:spacing w:after="70" w:before="200"/>
      </w:pPr>
      <w:r>
        <w:rPr>
          <w:rFonts w:ascii="MS Pゴシック" w:cs="MS Pゴシック" w:eastAsia="MS Pゴシック" w:hAnsi="MS Pゴシック"/>
          <w:b/>
          <w:bCs/>
          <w:color w:val="1A1A1A"/>
          <w:sz w:val="19"/>
          <w:szCs w:val="19"/>
        </w:rPr>
        <w:t xml:space="preserve">表16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3,416円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7,222円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+11.9%</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11,424円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19,828円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段階設定にあたっての考え方</w:t>
            </w:r>
          </w:p>
          <w:p>
            <w:pPr>
              <w:spacing w:after="60" w:line="290"/>
            </w:pPr>
            <w:r>
              <w:rPr>
                <w:rFonts w:ascii="MS Pゴシック" w:cs="MS Pゴシック" w:eastAsia="MS Pゴシック" w:hAnsi="MS Pゴシック"/>
                <w:color w:val="1A1A1A"/>
                <w:sz w:val="20"/>
                <w:szCs w:val="20"/>
              </w:rPr>
              <w:t xml:space="preserve">第2段階の時期・水準は本資料で確定するものではない。汚水処理費の推移と経費回収率の実績を見ながら、改定のつど判断する。</w:t>
            </w:r>
          </w:p>
          <w:p>
            <w:pPr>
              <w:spacing w:after="60" w:line="290"/>
            </w:pPr>
            <w:r>
              <w:rPr>
                <w:rFonts w:ascii="MS Pゴシック" w:cs="MS Pゴシック" w:eastAsia="MS Pゴシック" w:hAnsi="MS Pゴシック"/>
                <w:color w:val="1A1A1A"/>
                <w:sz w:val="20"/>
                <w:szCs w:val="20"/>
              </w:rPr>
              <w:t xml:space="preserve">経営戦略は定期的な使用料改定の必要性を示しているが、その将来数値には不整合が確認されているため（第9章）、段階の水準は令和7年度決算からの改善幅で管理する。</w:t>
            </w:r>
          </w:p>
          <w:p>
            <w:pPr>
              <w:spacing w:after="60" w:line="290"/>
            </w:pPr>
            <w:r>
              <w:rPr>
                <w:rFonts w:ascii="MS Pゴシック" w:cs="MS Pゴシック" w:eastAsia="MS Pゴシック" w:hAnsi="MS Pゴシック"/>
                <w:color w:val="1A1A1A"/>
                <w:sz w:val="20"/>
                <w:szCs w:val="20"/>
              </w:rPr>
              <w:t xml:space="preserve">第1段階でA案を採る場合は、第2段階で6〜10㎥をより大きく引き上げる余地が残る。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表17　条例別表（第17条関係／漁集は第19条関係）の改正案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800"/>
        <w:gridCol w:w="1800"/>
        <w:gridCol w:w="1300"/>
        <w:gridCol w:w="1300"/>
        <w:gridCol w:w="1300"/>
        <w:gridCol w:w="1050"/>
        <w:gridCol w:w="1050"/>
      </w:tblGrid>
      <w:tr>
        <w:trPr>
          <w:tblHeader/>
        </w:trPr>
        <w:tc>
          <w:tcPr>
            <w:tcW w:type="dxa" w:w="18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条例別表の区分（1か月につき）</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A案（税抜）</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B案（税抜）</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A案（税込）</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B案（税込）</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一般汚水 基本使用料</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18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一般汚水 超過使用料</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5㎥を超え10㎥まで</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60.5円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18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10㎥を超え50㎥まで</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174円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223.3円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210.1円</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50㎥を超える分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基本使用料</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超過使用料</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5㎥を超える分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区分の表記は現行別表の文言（「5㎥を超え10㎥まで」等）に合わせている。本資料の本文では読みやすさのため「6〜10㎥」等と表記しているが、整数水量では同一である。税込は条例ただし書のとおり、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A案・B案とも、政策検討用の税込値から逆算するのではなく、条例に載せる税抜単価を先に決め、そこから税込を導いている。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公共下水道条例と漁業集落排水処理施設設置及び管理条例の別表はいずれも同額であり、改正附則の日付も一致している（連動改正されてきた）。両方を改正する必要がある。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5㎥まで）＋5㎥を超える分57円である。令和7年度の調定データを公衆浴場汚水の算定式で照合したところ、一般汚水では生じ得ない金額が2件あったが、いずれも水量欄と突き合わせると1か月検針の一般汚水（88㎥・145㎥）であることが確認できた。したがって適用者は確認できないが、台帳側での確認は別途必要である。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端数処理と2か月請求の算定</w:t>
      </w:r>
    </w:p>
    <w:p>
      <w:pPr>
        <w:spacing w:after="120" w:before="0" w:line="300"/>
        <w:ind w:left="240"/>
      </w:pPr>
      <w:r>
        <w:rPr>
          <w:rFonts w:ascii="MS Pゴシック" w:cs="MS Pゴシック" w:eastAsia="MS Pゴシック" w:hAnsi="MS Pゴシック"/>
          <w:color w:val="1A1A1A"/>
          <w:sz w:val="21"/>
          <w:szCs w:val="21"/>
        </w:rPr>
        <w:t xml:space="preserve">条例ただし書により、税抜額に消費税を加算した額の1円未満を切り捨てる。2か月ごとに認定する場合は各月均等に排除したものとみなして算定する。実データで検証したところ、基本水量内の2か月請求額は2,217円であり、各月ごとに切り捨てた場合の2,216円は1件も存在しない。すなわち切捨ては2か月分をまとめて1回行っている。改正にあたってはこの取扱いを条文上明確にすることが望ましい。</w:t>
      </w:r>
    </w:p>
    <w:p>
      <w:pPr>
        <w:spacing w:after="40" w:before="120" w:line="300"/>
      </w:pPr>
      <w:r>
        <w:rPr>
          <w:rFonts w:ascii="MS Pゴシック" w:cs="MS Pゴシック" w:eastAsia="MS Pゴシック" w:hAnsi="MS Pゴシック"/>
          <w:b/>
          <w:bCs/>
          <w:color w:val="1A1A1A"/>
          <w:sz w:val="20"/>
          <w:szCs w:val="20"/>
        </w:rPr>
        <w:t xml:space="preserve">■ 日割算定の範囲</w:t>
      </w:r>
    </w:p>
    <w:p>
      <w:pPr>
        <w:spacing w:after="120" w:before="0" w:line="300"/>
        <w:ind w:left="240"/>
      </w:pPr>
      <w:r>
        <w:rPr>
          <w:rFonts w:ascii="MS Pゴシック" w:cs="MS Pゴシック" w:eastAsia="MS Pゴシック" w:hAnsi="MS Pゴシック"/>
          <w:color w:val="1A1A1A"/>
          <w:sz w:val="21"/>
          <w:szCs w:val="21"/>
        </w:rPr>
        <w:t xml:space="preserve">日割算定は排除汚水量が基本水量未満のときに限られる。基本使用料を据え置く本資料の案では、この日割額は改定後も変わらない。なお漁業集落排水処理施設条例第20条第4項は「別表に規定する基本水量未満」とするが、同条例には別表第1と別表第2があるため、改正時に「別表第2」と特定する表記に改めることが望まし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参考　経営戦略および令和8年度予算との関係</w:t>
      </w:r>
    </w:p>
    <w:p>
      <w:pPr>
        <w:spacing w:after="120" w:before="0" w:line="300"/>
      </w:pPr>
      <w:r>
        <w:rPr>
          <w:rFonts w:ascii="MS Pゴシック" w:cs="MS Pゴシック" w:eastAsia="MS Pゴシック" w:hAnsi="MS Pゴシック"/>
          <w:color w:val="1A1A1A"/>
          <w:sz w:val="21"/>
          <w:szCs w:val="21"/>
        </w:rPr>
        <w:t xml:space="preserve">経営戦略は定期的な使用料改定の必要性を示しており、その政策方向は本検討の前提となる。一方で将来推計値には次の3点の不整合が確認されたため、改定幅の直接的な算定根拠とはしていない。詳細は別添の差異分析メモによる。</w:t>
      </w:r>
    </w:p>
    <w:p>
      <w:pPr>
        <w:spacing w:after="40" w:before="120" w:line="300"/>
      </w:pPr>
      <w:r>
        <w:rPr>
          <w:rFonts w:ascii="MS Pゴシック" w:cs="MS Pゴシック" w:eastAsia="MS Pゴシック" w:hAnsi="MS Pゴシック"/>
          <w:b/>
          <w:bCs/>
          <w:color w:val="1A1A1A"/>
          <w:sz w:val="20"/>
          <w:szCs w:val="20"/>
        </w:rPr>
        <w:t xml:space="preserve">■ ① 使用料収入が税込ベースで積算されている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令和1〜4年度の実績平均）が採用されている。地方公営企業法の適用は令和6年度からであり、令和1〜5年度は法非適用（官庁会計）で使用料を税込計上していた。決算統計上も、下水道使用料は法適用企業では税抜（20表）、法非適用企業では税込（26表）と定められている。実績単価と突き合わせると、採用単価は実績の税込単価（公共176.7〜176.9円・漁集175.1〜175.6円）とは1.6〜2.5%しか違わないのに対し、実績の税抜単価（159.2〜160.8円）とは7.2〜8.3%乖離する。損益（税抜）の枠組みに税込単価を投入しており、令和8年度で約4,752千円過大である。</w:t>
      </w:r>
    </w:p>
    <w:p>
      <w:pPr>
        <w:spacing w:after="40" w:before="120" w:line="300"/>
      </w:pPr>
      <w:r>
        <w:rPr>
          <w:rFonts w:ascii="MS Pゴシック" w:cs="MS Pゴシック" w:eastAsia="MS Pゴシック" w:hAnsi="MS Pゴシック"/>
          <w:b/>
          <w:bCs/>
          <w:color w:val="1A1A1A"/>
          <w:sz w:val="20"/>
          <w:szCs w:val="20"/>
        </w:rPr>
        <w:t xml:space="preserve">■ ② 経費回収率の定義が決算公表値と異なる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決算統計32表ベース・維持管理費の汚水分のみ）とは連続しない。本資料は決算公表値の49.5%を基準としている。</w:t>
      </w:r>
    </w:p>
    <w:p>
      <w:pPr>
        <w:spacing w:after="40" w:before="120" w:line="300"/>
      </w:pPr>
      <w:r>
        <w:rPr>
          <w:rFonts w:ascii="MS Pゴシック" w:cs="MS Pゴシック" w:eastAsia="MS Pゴシック" w:hAnsi="MS Pゴシック"/>
          <w:b/>
          <w:bCs/>
          <w:color w:val="1A1A1A"/>
          <w:sz w:val="20"/>
          <w:szCs w:val="20"/>
        </w:rPr>
        <w:t xml:space="preserve">■ ③ 有収水量の前提が実績と乖離している</w:t>
      </w:r>
    </w:p>
    <w:p>
      <w:pPr>
        <w:spacing w:after="120" w:before="0" w:line="300"/>
        <w:ind w:left="240"/>
      </w:pPr>
      <w:r>
        <w:rPr>
          <w:rFonts w:ascii="MS Pゴシック" w:cs="MS Pゴシック" w:eastAsia="MS Pゴシック" w:hAnsi="MS Pゴシック"/>
          <w:color w:val="1A1A1A"/>
          <w:sz w:val="21"/>
          <w:szCs w:val="21"/>
        </w:rPr>
        <w:t xml:space="preserve">公共は令和7年度実績210,398㎥に対し経営戦略予測222,618㎥（+5.8%過大）で、令和8年度予測232,372㎥の達成は困難である。漁集は逆に減少を見込みすぎている。</w:t>
      </w:r>
    </w:p>
    <w:p>
      <w:pPr>
        <w:keepNext/>
        <w:spacing w:after="70" w:before="200"/>
      </w:pPr>
      <w:r>
        <w:rPr>
          <w:rFonts w:ascii="MS Pゴシック" w:cs="MS Pゴシック" w:eastAsia="MS Pゴシック" w:hAnsi="MS Pゴシック"/>
          <w:b/>
          <w:bCs/>
          <w:color w:val="1A1A1A"/>
          <w:sz w:val="19"/>
          <w:szCs w:val="19"/>
        </w:rPr>
        <w:t xml:space="preserve">表18　令和8年度予算と経営戦略の差異（単位：千円・すべて税抜）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1500"/>
        <w:gridCol w:w="1500"/>
        <w:gridCol w:w="24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R8（記載値）</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税込単価で積算</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単価の税区分による過大（÷1.1）</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47,521</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経営戦略側の不整合</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▲4,305</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43,215</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42,944</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＝現況継続R8の税抜相当</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有収水量を実勢へ</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▲3,047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39,896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経営戦略側の見込み違い</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単価を実勢へ</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＋690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40,586</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＝令和7年度決算（損益）</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予算の保守的計上</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▲2,490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38,096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＝令和8年度予算の税抜換算</w:t>
            </w:r>
          </w:p>
        </w:tc>
      </w:tr>
    </w:tbl>
    <w:p>
      <w:pPr>
        <w:spacing w:after="200" w:before="40"/>
      </w:pPr>
      <w:r>
        <w:rPr>
          <w:rFonts w:ascii="MS Pゴシック" w:cs="MS Pゴシック" w:eastAsia="MS Pゴシック" w:hAnsi="MS Pゴシック"/>
          <w:color w:val="5F6F74"/>
          <w:sz w:val="17"/>
          <w:szCs w:val="17"/>
        </w:rPr>
        <w:t xml:space="preserve">令和8年度当初予算の下水道使用料41,906千円（税込）は公共34,356千円＋漁集7,550千円の合算で、税抜換算38,096千円である。予算が決算を6.1%下回るのは、令和8年度当初予算が令和7年度決算（案）が固まるより前に編成されるためである。改定の増収効果を予算額に対して評価すると過小になるため、本資料は令和7年度の年間全件調定を基礎としてい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A案の11〜50㎥（税抜203円）とB案の同191円は、平均増収率が約10%になるよう令和7年度の利用分布から逆算したものである。集計ブックの水量欄と検針区分（毎月・隔月）を用いて分類しており、毎月検針の大口利用者も算定に取り込めている。ただし水量欄が空欄の異動等が2事業合計で96件・2,001,629円（調定額の4.5%）残っており、これらは現行額に平均改定率を乗じる簡便法で扱っている。1件あたり約2.1万円と金額が大きいため、税抜単価を最終確定する前にこの96件の内訳を確認することが望ましい。</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年間全件調定（12か月・9,220件・44,567,510円）に基づく。各記録は集計ブックの水量欄と算定式を照合し、隔月検針・毎月検針・基本水量内・日割等に分類している。集計ブックは公共の「〜2,216」行を1件あたり2,216円（上限額）で、漁集の日割11件を基本使用料2,217円で計上していたため、いずれも調定明細により評価し直している。ただし公共の日割491件は令和7年度3月分の実績71件・64,144円（平均903.4円）を他月にも適用した推計であり、実額が判明しているのは3月分71件のみである。漁業集落排水の日割11件・13,189円は年間の実額である。したがって44,567,510円は実額ではなく補正推計額である。日割は基本使用料を据え置く限り改定差額に影響しない。</w:t>
      </w:r>
    </w:p>
    <w:p>
      <w:pPr>
        <w:spacing w:after="40" w:before="120" w:line="300"/>
      </w:pPr>
      <w:r>
        <w:rPr>
          <w:rFonts w:ascii="MS Pゴシック" w:cs="MS Pゴシック" w:eastAsia="MS Pゴシック" w:hAnsi="MS Pゴシック"/>
          <w:b/>
          <w:bCs/>
          <w:color w:val="1A1A1A"/>
          <w:sz w:val="20"/>
          <w:szCs w:val="20"/>
        </w:rPr>
        <w:t xml:space="preserve">■ 平均増収率は加重平均であり、他の基礎額への適用は近似である</w:t>
      </w:r>
    </w:p>
    <w:p>
      <w:pPr>
        <w:spacing w:after="120" w:before="0" w:line="300"/>
        <w:ind w:left="240"/>
      </w:pPr>
      <w:r>
        <w:rPr>
          <w:rFonts w:ascii="MS Pゴシック" w:cs="MS Pゴシック" w:eastAsia="MS Pゴシック" w:hAnsi="MS Pゴシック"/>
          <w:color w:val="1A1A1A"/>
          <w:sz w:val="21"/>
          <w:szCs w:val="21"/>
        </w:rPr>
        <w:t xml:space="preserve">平均増収率は令和7年度の利用構成から導いた加重平均である（A案：基本±0%／6〜10㎥+48.6%／11〜50㎥+16.7%／51㎥〜+10.0%）。利用構成が変われば率も変わるため、令和8年度予算など他の基礎額に当てはめる場合は「令和7年度と同程度の利用構成が継続する」という前提を置いた近似適用となる。</w:t>
      </w:r>
    </w:p>
    <w:p>
      <w:pPr>
        <w:spacing w:after="40" w:before="120" w:line="300"/>
      </w:pPr>
      <w:r>
        <w:rPr>
          <w:rFonts w:ascii="MS Pゴシック" w:cs="MS Pゴシック" w:eastAsia="MS Pゴシック" w:hAnsi="MS Pゴシック"/>
          <w:b/>
          <w:bCs/>
          <w:color w:val="1A1A1A"/>
          <w:sz w:val="20"/>
          <w:szCs w:val="20"/>
        </w:rPr>
        <w:t xml:space="preserve">■ 経費回収率の改善率は相対改善率である</w:t>
      </w:r>
    </w:p>
    <w:p>
      <w:pPr>
        <w:spacing w:after="120" w:before="0" w:line="300"/>
        <w:ind w:left="240"/>
      </w:pPr>
      <w:r>
        <w:rPr>
          <w:rFonts w:ascii="MS Pゴシック" w:cs="MS Pゴシック" w:eastAsia="MS Pゴシック" w:hAnsi="MS Pゴシック"/>
          <w:color w:val="1A1A1A"/>
          <w:sz w:val="21"/>
          <w:szCs w:val="21"/>
        </w:rPr>
        <w:t xml:space="preserve">本資料の「5〜15%改善」は経費回収率49.5%に対する相対改善率であり、ポイント改善ではない。49.5%×1.10＝54.5%という意味である。仮に+5〜15ポイント改善（54.5〜64.5%）とすると使用料を約+10〜30%引き上げる必要がある。</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経費回収率は静態試算</w:t>
      </w:r>
    </w:p>
    <w:p>
      <w:pPr>
        <w:spacing w:after="120" w:before="0" w:line="300"/>
        <w:ind w:left="240"/>
      </w:pPr>
      <w:r>
        <w:rPr>
          <w:rFonts w:ascii="MS Pゴシック" w:cs="MS Pゴシック" w:eastAsia="MS Pゴシック" w:hAnsi="MS Pゴシック"/>
          <w:color w:val="1A1A1A"/>
          <w:sz w:val="21"/>
          <w:szCs w:val="21"/>
        </w:rPr>
        <w:t xml:space="preserve">汚水処理費を令和7年度水準（49.5%から逆算した約81,993千円）で据え置いている。実際には維持管理費が変動するため、複数年度の見通しとする場合は年度別の再計算が必要である。なお令和7年度の普及指導費は90千円で、令和6年度の330千円から減少してい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集計ブックの水量欄を用いて分類しているが、基本水量内（2か月2,217円）は1〜10㎥のいずれでも同額のため水量を特定できない。日割・異動等も同様である。</w:t>
      </w:r>
    </w:p>
    <w:p>
      <w:pPr>
        <w:spacing w:after="40" w:before="120" w:line="300"/>
      </w:pPr>
      <w:r>
        <w:rPr>
          <w:rFonts w:ascii="MS Pゴシック" w:cs="MS Pゴシック" w:eastAsia="MS Pゴシック" w:hAnsi="MS Pゴシック"/>
          <w:b/>
          <w:bCs/>
          <w:color w:val="1A1A1A"/>
          <w:sz w:val="20"/>
          <w:szCs w:val="20"/>
        </w:rPr>
        <w:t xml:space="preserve">■ 令和8年度予算額の位置づけ</w:t>
      </w:r>
    </w:p>
    <w:p>
      <w:pPr>
        <w:spacing w:after="120" w:before="0" w:line="300"/>
        <w:ind w:left="240"/>
      </w:pPr>
      <w:r>
        <w:rPr>
          <w:rFonts w:ascii="MS Pゴシック" w:cs="MS Pゴシック" w:eastAsia="MS Pゴシック" w:hAnsi="MS Pゴシック"/>
          <w:color w:val="1A1A1A"/>
          <w:sz w:val="21"/>
          <w:szCs w:val="21"/>
        </w:rPr>
        <w:t xml:space="preserve">令和8年度当初予算の下水道使用料41,906千円は3条予算であり税込である。損益ベースの数値と並べる場合は税抜換算38,096千円を用いる。この予算額は令和7年度決算を6.1%下回るため、増収額の基礎には用いてい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地方公営企業決算状況調査表作成要領　</w:t>
      </w:r>
      <w:r>
        <w:rPr>
          <w:rFonts w:ascii="MS Pゴシック" w:cs="MS Pゴシック" w:eastAsia="MS Pゴシック" w:hAnsi="MS Pゴシック"/>
          <w:color w:val="5F6F74"/>
          <w:sz w:val="19"/>
          <w:szCs w:val="19"/>
        </w:rPr>
        <w:t xml:space="preserve">各調査表の税区分、32表26．（再掲）下水道使用料の定義</w:t>
      </w:r>
    </w:p>
    <w:p>
      <w:pPr>
        <w:spacing w:after="60" w:before="0" w:line="300"/>
      </w:pPr>
      <w:r>
        <w:rPr>
          <w:rFonts w:ascii="MS Pゴシック" w:cs="MS Pゴシック" w:eastAsia="MS Pゴシック" w:hAnsi="MS Pゴシック"/>
          <w:color w:val="1A1A1A"/>
          <w:sz w:val="19"/>
          <w:szCs w:val="19"/>
        </w:rPr>
        <w:t xml:space="preserve">・令和8年度 階上町下水道事業会計予算・予算に関する説明書　</w:t>
      </w:r>
      <w:r>
        <w:rPr>
          <w:rFonts w:ascii="MS Pゴシック" w:cs="MS Pゴシック" w:eastAsia="MS Pゴシック" w:hAnsi="MS Pゴシック"/>
          <w:color w:val="5F6F74"/>
          <w:sz w:val="19"/>
          <w:szCs w:val="19"/>
        </w:rPr>
        <w:t xml:space="preserve">下水道使用料の当初予算額、予算明細書（公共・漁集）、予定損益計算書</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本資料の数値は、別添の試算エビデンス（Excel）と再現用スクリプトで全て追跡・再計算できる。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6763aa4c59eaca8619d622f954e3bc8e162ada.png"/><Relationship Id="rId10" Type="http://schemas.openxmlformats.org/officeDocument/2006/relationships/image" Target="media/679892528165f86c391769821b3e9b2bd49ffd16.png"/><Relationship Id="rId11" Type="http://schemas.openxmlformats.org/officeDocument/2006/relationships/image" Target="media/d0f79f9139affc291a0b90661884c3f80aa3445b.png"/><Relationship Id="rId12" Type="http://schemas.openxmlformats.org/officeDocument/2006/relationships/image" Target="media/503aa507db036e90bbd0b719e97a78d25efe83c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2026-09-15T03:14:50.259Z</dcterms:created>
  <dcterms:modified xsi:type="dcterms:W3CDTF">2026-09-15T03:14:50.260Z</dcterms:modified>
</cp:coreProperties>
</file>

<file path=docProps/custom.xml><?xml version="1.0" encoding="utf-8"?>
<Properties xmlns="http://schemas.openxmlformats.org/officeDocument/2006/custom-properties" xmlns:vt="http://schemas.openxmlformats.org/officeDocument/2006/docPropsVTypes"/>
</file>