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ind w:firstLine="220"/>
      </w:pPr>
      <w:r>
        <w:rPr>
          <w:b w:val="0"/>
        </w:rPr>
        <w:t>本計画期間における手帳所持者数の見通しは、手帳の種類ごとに別に推計します。身体障害者手帳は平成31年から令和５年まで緩やかに減少し、精神障害者保健福祉手帳は同じ期間に増加しており、向きが分かれているためです。三つの手帳を同じ伸び率で動かすことはしません。推計には、過去の推移を延ばす方法と、人口に対する所持率を将来人口に乗じる方法の二つを併用し、単一の数値ではなく幅で示します。</w:t>
      </w:r>
    </w:p>
    <w:p>
      <w:pPr>
        <w:ind w:firstLine="220"/>
      </w:pPr>
      <w:r>
        <w:rPr>
          <w:b w:val="0"/>
        </w:rPr>
        <w:t>ただし、本計画の策定時点では、令和６年から令和８年までの手帳所持者数について村の台帳による確定した数値を確認できていません。基礎とする数値が定まらないうちに令和11年度の見通しを単一の数値で示すと、見込量の検証の土台が狂います。このため、本計画では、村の台帳による数値の確認を経てから手帳の種類ごとの見通しを確定し、第５章の見込量と突き合わせ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-113）】障がい者手帳所持者数について、令和６年・令和７年・令和８年の各４月１日現在の数値を、身体障害者手帳・療育手帳・精神障害者保健福祉手帳の別に、村の手帳台帳によりご確認ください。本章の127人・16人・38人は、現時点では台帳による確定値ではありません。この数値が変わると、本章２から５までの本文（令和５年と比べて25人の増加、身体13人の増加、精神８人の増加、精神が増加傾向）と図２-２から図２-７までが変わります。</w:t>
            </w:r>
          </w:p>
        </w:tc>
      </w:tr>
    </w:tbl>
    <w:p>
      <w:pPr>
        <w:spacing w:after="0"/>
      </w:pPr>
    </w:p>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起点は、令和８年度に実際に利用している方ではなく、令和８年度末に支援を必要とする方です。実際に利用している方だけを起点にすると、令和８年度に既に足りていない分がそのまま次の３年間にも足りないまま残り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令和８年度末に支援を必要とする方</w:t>
            </w:r>
          </w:p>
        </w:tc>
        <w:tc>
          <w:tcPr>
            <w:tcW w:w="5077" w:type="dxa"/>
          </w:tcPr>
          <w:p>
            <w:pPr>
              <w:spacing w:after="0"/>
            </w:pPr>
            <w:r>
              <w:rPr>
                <w:sz w:val="19"/>
              </w:rPr>
              <w:t>村の給付実績（実際に利用している方）に、必要があるが支給決定も利用もしていない方を加える。実際に利用している方だけを起点にすると、令和８年度に既に足りていない分が落ちる（表５-２の第１段階）</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障害児入所施設からの移行（18歳から22歳まで）</w:t>
            </w:r>
          </w:p>
        </w:tc>
        <w:tc>
          <w:tcPr>
            <w:tcW w:w="5077" w:type="dxa"/>
          </w:tcPr>
          <w:p>
            <w:pPr>
              <w:spacing w:after="0"/>
            </w:pPr>
            <w:r>
              <w:rPr>
                <w:sz w:val="19"/>
              </w:rPr>
              <w:t>改正児童福祉法により22歳満了までの入所継続ができる。移行調整の責任主体は県であるため、村が単独で数えず、県、入所施設及び相談支援事業所と移行の年度と移行先を確かめて計上する</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40歳から64歳までの特定疾病による介護保険への移行</w:t>
            </w:r>
          </w:p>
        </w:tc>
        <w:tc>
          <w:tcPr>
            <w:tcW w:w="5077" w:type="dxa"/>
          </w:tcPr>
          <w:p>
            <w:pPr>
              <w:spacing w:after="0"/>
            </w:pPr>
            <w:r>
              <w:rPr>
                <w:sz w:val="19"/>
              </w:rPr>
              <w:t>16の特定疾病に該当して要介護又は要支援の認定を受けた方に限る。40歳に達したことのみをもって減らさない</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pPr>
        <w:ind w:firstLine="220"/>
      </w:pPr>
      <w:r>
        <w:rPr>
          <w:b w:val="0"/>
        </w:rPr>
        <w:t>計画相談支援の見込量は「人／月」で示しています。ただし、相談支援専門員が担う仕事の量は利用者の人数だけでは決まりません。計画相談支援は、サービス等利用計画を作るサービス利用支援と、作った計画を見直す継続サービス利用支援（モニタリング）から成り立っており、モニタリングを行う間隔はサービスの種類と本人の状況に応じて定まります。同じ24人であっても、毎月の見直しを要する方が多い場合とそうでない場合とでは、年間の実施回数が大きく違います。</w:t>
      </w:r>
    </w:p>
    <w:p>
      <w:pPr>
        <w:ind w:firstLine="220"/>
      </w:pPr>
      <w:r>
        <w:rPr>
          <w:b w:val="0"/>
        </w:rPr>
        <w:t>本計画は、のぞまないセルフプランの件数を令和11年度末に０件とすることを成果目標としています。この目標は、相談支援専門員がモニタリングを担いきれることを前提としています。このため、毎年度の点検評価（第１章６）では、計画相談支援の利用者数に加えて、モニタリングの年間の実施回数、本村を担当する相談支援専門員の人数、及び計画の作成又は見直しを待っている方の有無を記録します。記録した結果、担いきれない見込みとなる場合は、基幹相談支援センターの広域での設置（第４章２（６））とあわせて体制の確保を図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-115）】計画相談支援について、①本村を担当する相談支援専門員の人数（事業所別、兼務を含む）、②令和６年度・令和７年度のモニタリングの実施回数、③利用者ごとのモニタリングの間隔の分布、④計画の作成又は見直しを待っている方の有無を確認してください。あわせて、障害児入所施設に入所している方で令和９年度から令和11年度までに22歳に達する方がいるか、及び必要があるが利用に至っていない支援があるかをお知らせください。いずれも第２次算定の個別台帳の欄に対応します。</w:t>
            </w:r>
          </w:p>
        </w:tc>
      </w:tr>
    </w:tbl>
    <w:p>
      <w:pPr>
        <w:spacing w:after="0"/>
      </w:pP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ind w:firstLine="220"/>
      </w:pPr>
      <w:r>
        <w:rPr>
          <w:b w:val="0"/>
        </w:rPr>
        <w:t>成年後見制度法人後見支援事業については、本章の事業の内容に掲げている一方で、実績及び見込量の表に行がありません。国の告示は、市町村が実施する地域生活支援事業について、事業の種類ごとに実施に関する考え方と量の見込みを定めることとしています。内容に掲げながら量を示さない状態は、実施していないのか、実施しているが計上していないのかが読み取れません。本計画では、次のいずれかに整理します。第一に、法人後見を担い得る法人の確保の検討を事業として行うのであれば、年度ごとの件数を見込量の表に加えます。第二に、計画期間中に事業として実施しないのであれば、その旨と、成年後見制度の利用の支援をどの事業で担うかを本文に明記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-114）】成年後見制度法人後見支援事業について、上の第一と第二のいずれで整理するかをご判断ください。第一の場合は令和９年度から令和11年度までの件数を、第二の場合は実施しない理由をお知らせください。手話奉仕員養成研修事業も同じ状態であり、Ｍ-59・Ｍ-60であわせてお尋ねしています。</w:t>
            </w:r>
          </w:p>
        </w:tc>
      </w:tr>
    </w:tbl>
    <w:p>
      <w:pPr>
        <w:spacing w:after="0"/>
      </w:pPr>
    </w:p>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Ｓ-13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