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line="300" w:lineRule="exact"/>
        <w:jc w:val="right"/>
      </w:pPr>
      <w:r>
        <w:rPr>
          <w:rFonts w:ascii="游ゴシック" w:cs="游ゴシック" w:eastAsia="游ゴシック" w:hAnsi="游ゴシック"/>
          <w:sz w:val="21"/>
          <w:szCs w:val="21"/>
        </w:rPr>
        <w:t xml:space="preserve">令和8年10月20日</w:t>
      </w:r>
    </w:p>
    <w:p>
      <w:pPr>
        <w:spacing w:after="70" w:line="300" w:lineRule="exact"/>
        <w:jc w:val="center"/>
      </w:pPr>
      <w:r>
        <w:rPr>
          <w:rFonts w:ascii="游ゴシック" w:cs="游ゴシック" w:eastAsia="游ゴシック" w:hAnsi="游ゴシック"/>
          <w:color w:val="595959"/>
          <w:sz w:val="21"/>
          <w:szCs w:val="21"/>
        </w:rPr>
        <w:t xml:space="preserve">北塩原村　第10期高齢者福祉計画・第10期介護保険事業計画</w:t>
      </w:r>
    </w:p>
    <w:p>
      <w:pPr>
        <w:spacing w:after="60" w:line="300" w:lineRule="exact"/>
        <w:jc w:val="center"/>
      </w:pPr>
      <w:r>
        <w:rPr>
          <w:rFonts w:ascii="游ゴシック" w:cs="游ゴシック" w:eastAsia="游ゴシック" w:hAnsi="游ゴシック"/>
          <w:b/>
          <w:bCs/>
          <w:color w:val="1F3864"/>
          <w:sz w:val="30"/>
          <w:szCs w:val="30"/>
        </w:rPr>
        <w:t xml:space="preserve">公表用素案の構成案</w:t>
      </w:r>
    </w:p>
    <w:p>
      <w:pPr>
        <w:spacing w:after="280" w:line="300" w:lineRule="exact"/>
        <w:jc w:val="center"/>
      </w:pPr>
      <w:r>
        <w:rPr>
          <w:rFonts w:ascii="游ゴシック" w:cs="游ゴシック" w:eastAsia="游ゴシック" w:hAnsi="游ゴシック"/>
          <w:color w:val="1F3864"/>
          <w:sz w:val="22"/>
          <w:szCs w:val="22"/>
        </w:rPr>
        <w:t xml:space="preserve">― 第9期計画の目次体系への当て方 ―</w:t>
      </w:r>
    </w:p>
    <w:p>
      <w:pPr>
        <w:keepNext/>
        <w:spacing w:after="150" w:before="280" w:line="320" w:lineRule="exact"/>
      </w:pPr>
      <w:r>
        <w:rPr>
          <w:rFonts w:ascii="游ゴシック" w:cs="游ゴシック" w:eastAsia="游ゴシック" w:hAnsi="游ゴシック"/>
          <w:b/>
          <w:bCs/>
          <w:color w:val="1F3864"/>
          <w:sz w:val="26"/>
          <w:szCs w:val="26"/>
        </w:rPr>
        <w:t xml:space="preserve">1　2つの素案</w:t>
      </w:r>
    </w:p>
    <w:p>
      <w:pPr>
        <w:spacing w:after="120" w:line="300" w:lineRule="exact"/>
      </w:pPr>
      <w:r>
        <w:rPr>
          <w:rFonts w:ascii="游明朝" w:cs="游明朝" w:eastAsia="游明朝" w:hAnsi="游明朝"/>
          <w:sz w:val="21"/>
          <w:szCs w:val="21"/>
        </w:rPr>
        <w:t xml:space="preserve">村のご指示により、素案を協議用と公表用に分けます。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5803"/>
        <w:gridCol w:w="2059"/>
      </w:tblGrid>
      <w:tr>
        <w:trPr>
          <w:tblHeader/>
        </w:trPr>
        <w:tc>
          <w:tcPr>
            <w:tcW w:type="dxa" w:w="1498"/>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
            </w:r>
          </w:p>
        </w:tc>
        <w:tc>
          <w:tcPr>
            <w:tcW w:type="dxa" w:w="5803"/>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中身</w:t>
            </w:r>
          </w:p>
        </w:tc>
        <w:tc>
          <w:tcPr>
            <w:tcW w:type="dxa" w:w="2059"/>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分量</w:t>
            </w:r>
          </w:p>
        </w:tc>
      </w:tr>
      <w:tr>
        <w:tc>
          <w:tcPr>
            <w:tcW w:type="dxa" w:w="1498"/>
            <w:shd w:fill="F2F2F2"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協議用素案</w:t>
            </w:r>
          </w:p>
        </w:tc>
        <w:tc>
          <w:tcPr>
            <w:tcW w:type="dxa" w:w="5803"/>
            <w:shd w:fill="F2F2F2"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これまでの論点をすべて含みます。策定委員会での協議と村との確認に用います</w:t>
            </w:r>
          </w:p>
        </w:tc>
        <w:tc>
          <w:tcPr>
            <w:tcW w:type="dxa" w:w="2059"/>
            <w:shd w:fill="F2F2F2"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154頁（制約なし）</w:t>
            </w:r>
          </w:p>
        </w:tc>
      </w:tr>
      <w:tr>
        <w:tc>
          <w:tcPr>
            <w:tcW w:type="dxa" w:w="1498"/>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公表用素案</w:t>
            </w:r>
          </w:p>
        </w:tc>
        <w:tc>
          <w:tcPr>
            <w:tcW w:type="dxa" w:w="5803"/>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第9期計画の目次体系を踏襲します。新たな論点は指針・通達・法令に基づくものだけを加えます</w:t>
            </w:r>
          </w:p>
        </w:tc>
        <w:tc>
          <w:tcPr>
            <w:tcW w:type="dxa" w:w="2059"/>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推定112頁（目安100頁・最大115頁）</w:t>
            </w:r>
          </w:p>
        </w:tc>
      </w:tr>
    </w:tbl>
    <w:p>
      <w:pPr>
        <w:spacing w:after="100" w:line="300" w:lineRule="exact"/>
      </w:pPr>
      <w:r>
        <w:rPr>
          <w:rFonts w:ascii="游明朝" w:cs="游明朝" w:eastAsia="游明朝" w:hAnsi="游明朝"/>
          <w:sz w:val="21"/>
          <w:szCs w:val="21"/>
        </w:rPr>
        <w:t xml:space="preserve"/>
      </w:r>
    </w:p>
    <w:p>
      <w:pPr>
        <w:spacing w:after="140" w:line="300" w:lineRule="exact"/>
      </w:pPr>
      <w:r>
        <w:rPr>
          <w:rFonts w:ascii="游明朝" w:cs="游明朝" w:eastAsia="游明朝" w:hAnsi="游明朝"/>
          <w:sz w:val="21"/>
          <w:szCs w:val="21"/>
        </w:rPr>
        <w:t xml:space="preserve">協議用素案は82節あります。第9期計画の目次は39項目です。公表用はこの39項目に当てたうえで、指針・通達・法令による6項目を加え、12節を協議用にのみ置きます。</w:t>
      </w:r>
    </w:p>
    <w:p>
      <w:pPr>
        <w:spacing w:after="110" w:line="275" w:lineRule="exact"/>
      </w:pPr>
      <w:r>
        <w:rPr>
          <w:rFonts w:ascii="游ゴシック" w:cs="游ゴシック" w:eastAsia="游ゴシック" w:hAnsi="游ゴシック"/>
          <w:color w:val="595959"/>
          <w:sz w:val="19"/>
          <w:szCs w:val="19"/>
        </w:rPr>
        <w:t xml:space="preserve">※ 推定は送りによる空白を小さく見るため、実測は0〜3頁多く出ます。組んで変換して数えたうえで改めてお示しします。</w:t>
      </w:r>
    </w:p>
    <w:p>
      <w:pPr>
        <w:keepNext/>
        <w:spacing w:after="150" w:before="280" w:line="320" w:lineRule="exact"/>
      </w:pPr>
      <w:r>
        <w:rPr>
          <w:rFonts w:ascii="游ゴシック" w:cs="游ゴシック" w:eastAsia="游ゴシック" w:hAnsi="游ゴシック"/>
          <w:b/>
          <w:bCs/>
          <w:color w:val="1F3864"/>
          <w:sz w:val="26"/>
          <w:szCs w:val="26"/>
        </w:rPr>
        <w:t xml:space="preserve">2　第9期の目次に、協議用素案のどの節を当てるか</w:t>
      </w:r>
    </w:p>
    <w:p>
      <w:pPr>
        <w:spacing w:after="130" w:line="300" w:lineRule="exact"/>
      </w:pPr>
      <w:r>
        <w:rPr>
          <w:rFonts w:ascii="游明朝" w:cs="游明朝" w:eastAsia="游明朝" w:hAnsi="游明朝"/>
          <w:sz w:val="21"/>
          <w:szCs w:val="21"/>
        </w:rPr>
        <w:t xml:space="preserve">網掛けの行は、指針・通達・法令により新たに加える項目です。</w:t>
      </w:r>
    </w:p>
    <w:p>
      <w:pPr>
        <w:keepNext/>
        <w:spacing w:after="110" w:before="190" w:line="300" w:lineRule="exact"/>
      </w:pPr>
      <w:r>
        <w:rPr>
          <w:rFonts w:ascii="游ゴシック" w:cs="游ゴシック" w:eastAsia="游ゴシック" w:hAnsi="游ゴシック"/>
          <w:b/>
          <w:bCs/>
          <w:color w:val="2E75B6"/>
          <w:sz w:val="22"/>
          <w:szCs w:val="22"/>
        </w:rPr>
        <w:t xml:space="preserve">第1章　計画の目的と位置づけ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3931"/>
        <w:gridCol w:w="3650"/>
        <w:gridCol w:w="937"/>
      </w:tblGrid>
      <w:tr>
        <w:trPr>
          <w:tblHeader/>
        </w:trPr>
        <w:tc>
          <w:tcPr>
            <w:tcW w:type="dxa" w:w="842"/>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番号</w:t>
            </w:r>
          </w:p>
        </w:tc>
        <w:tc>
          <w:tcPr>
            <w:tcW w:type="dxa" w:w="3931"/>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第9期の項目／追加する項目</w:t>
            </w:r>
          </w:p>
        </w:tc>
        <w:tc>
          <w:tcPr>
            <w:tcW w:type="dxa" w:w="3650"/>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当てる節</w:t>
            </w:r>
          </w:p>
        </w:tc>
        <w:tc>
          <w:tcPr>
            <w:tcW w:type="dxa" w:w="937"/>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区分</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計画策定の趣旨</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1-1</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p1</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計画の位置づけ</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1-4・1-2</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p1</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3</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計画の対象</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（新設）</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p1</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4</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計画の期間</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1-3</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p2</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5</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日常生活圏域</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1-5</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p2</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6</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計画の策定体制</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1-6</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p2</w:t>
            </w:r>
          </w:p>
        </w:tc>
      </w:tr>
      <w:tr>
        <w:tc>
          <w:tcPr>
            <w:tcW w:type="dxa" w:w="842"/>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7</w:t>
            </w:r>
          </w:p>
        </w:tc>
        <w:tc>
          <w:tcPr>
            <w:tcW w:type="dxa" w:w="3931"/>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介護保険制度改正の主な内容</w:t>
            </w:r>
          </w:p>
        </w:tc>
        <w:tc>
          <w:tcPr>
            <w:tcW w:type="dxa" w:w="3650"/>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1-8</w:t>
            </w:r>
          </w:p>
        </w:tc>
        <w:tc>
          <w:tcPr>
            <w:tcW w:type="dxa" w:w="937"/>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追加</w:t>
            </w:r>
          </w:p>
        </w:tc>
      </w:tr>
    </w:tbl>
    <w:p>
      <w:pPr>
        <w:spacing w:after="60" w:line="300" w:lineRule="exact"/>
      </w:pPr>
      <w:r>
        <w:rPr>
          <w:rFonts w:ascii="游明朝" w:cs="游明朝" w:eastAsia="游明朝" w:hAnsi="游明朝"/>
          <w:sz w:val="21"/>
          <w:szCs w:val="21"/>
        </w:rPr>
        <w:t xml:space="preserve"/>
      </w:r>
    </w:p>
    <w:p>
      <w:pPr>
        <w:spacing w:after="110" w:line="275" w:lineRule="exact"/>
      </w:pPr>
      <w:r>
        <w:rPr>
          <w:rFonts w:ascii="游ゴシック" w:cs="游ゴシック" w:eastAsia="游ゴシック" w:hAnsi="游ゴシック"/>
          <w:color w:val="595959"/>
          <w:sz w:val="19"/>
          <w:szCs w:val="19"/>
        </w:rPr>
        <w:t xml:space="preserve">2　1-2（計画の法的根拠）を1-4に統合する</w:t>
      </w:r>
    </w:p>
    <w:p>
      <w:pPr>
        <w:spacing w:after="110" w:line="275" w:lineRule="exact"/>
      </w:pPr>
      <w:r>
        <w:rPr>
          <w:rFonts w:ascii="游ゴシック" w:cs="游ゴシック" w:eastAsia="游ゴシック" w:hAnsi="游ゴシック"/>
          <w:color w:val="595959"/>
          <w:sz w:val="19"/>
          <w:szCs w:val="19"/>
        </w:rPr>
        <w:t xml:space="preserve">3　★協議用素案に対応する節がない。第9期の記述（65歳以上の方とその家族、支援する関係者）を引いて新設する</w:t>
      </w:r>
    </w:p>
    <w:p>
      <w:pPr>
        <w:spacing w:after="80" w:line="300" w:lineRule="exact"/>
      </w:pPr>
      <w:r>
        <w:rPr>
          <w:rFonts w:ascii="游明朝" w:cs="游明朝" w:eastAsia="游明朝" w:hAnsi="游明朝"/>
          <w:sz w:val="21"/>
          <w:szCs w:val="21"/>
        </w:rPr>
        <w:t xml:space="preserve"/>
      </w:r>
    </w:p>
    <w:p>
      <w:pPr>
        <w:keepNext/>
        <w:spacing w:after="110" w:before="190" w:line="300" w:lineRule="exact"/>
      </w:pPr>
      <w:r>
        <w:rPr>
          <w:rFonts w:ascii="游ゴシック" w:cs="游ゴシック" w:eastAsia="游ゴシック" w:hAnsi="游ゴシック"/>
          <w:b/>
          <w:bCs/>
          <w:color w:val="2E75B6"/>
          <w:sz w:val="22"/>
          <w:szCs w:val="22"/>
        </w:rPr>
        <w:t xml:space="preserve">第2章　北塩原村の現状・取組み状況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3931"/>
        <w:gridCol w:w="3650"/>
        <w:gridCol w:w="937"/>
      </w:tblGrid>
      <w:tr>
        <w:trPr>
          <w:tblHeader/>
        </w:trPr>
        <w:tc>
          <w:tcPr>
            <w:tcW w:type="dxa" w:w="842"/>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番号</w:t>
            </w:r>
          </w:p>
        </w:tc>
        <w:tc>
          <w:tcPr>
            <w:tcW w:type="dxa" w:w="3931"/>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第9期の項目／追加する項目</w:t>
            </w:r>
          </w:p>
        </w:tc>
        <w:tc>
          <w:tcPr>
            <w:tcW w:type="dxa" w:w="3650"/>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当てる節</w:t>
            </w:r>
          </w:p>
        </w:tc>
        <w:tc>
          <w:tcPr>
            <w:tcW w:type="dxa" w:w="937"/>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区分</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人口・世帯数の状況</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2-1</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p5</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高齢者を取り巻く現状</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2-3・2-4</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p6</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3</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高齢者福祉の取組み状況</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（新設）</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p11</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4</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介護保険の取組み状況</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2-5・2-7</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p14</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5</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地域支援事業の取組み状況</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2-6</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p21</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6</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アンケート結果による村民の意識</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2-10</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p25</w:t>
            </w:r>
          </w:p>
        </w:tc>
      </w:tr>
    </w:tbl>
    <w:p>
      <w:pPr>
        <w:spacing w:after="60" w:line="300" w:lineRule="exact"/>
      </w:pPr>
      <w:r>
        <w:rPr>
          <w:rFonts w:ascii="游明朝" w:cs="游明朝" w:eastAsia="游明朝" w:hAnsi="游明朝"/>
          <w:sz w:val="21"/>
          <w:szCs w:val="21"/>
        </w:rPr>
        <w:t xml:space="preserve"/>
      </w:r>
    </w:p>
    <w:p>
      <w:pPr>
        <w:spacing w:after="110" w:line="275" w:lineRule="exact"/>
      </w:pPr>
      <w:r>
        <w:rPr>
          <w:rFonts w:ascii="游ゴシック" w:cs="游ゴシック" w:eastAsia="游ゴシック" w:hAnsi="游ゴシック"/>
          <w:color w:val="595959"/>
          <w:sz w:val="19"/>
          <w:szCs w:val="19"/>
        </w:rPr>
        <w:t xml:space="preserve">2　高齢者数・認定の状況とサービスの利用状況</w:t>
      </w:r>
    </w:p>
    <w:p>
      <w:pPr>
        <w:spacing w:after="110" w:line="275" w:lineRule="exact"/>
      </w:pPr>
      <w:r>
        <w:rPr>
          <w:rFonts w:ascii="游ゴシック" w:cs="游ゴシック" w:eastAsia="游ゴシック" w:hAnsi="游ゴシック"/>
          <w:color w:val="595959"/>
          <w:sz w:val="19"/>
          <w:szCs w:val="19"/>
        </w:rPr>
        <w:t xml:space="preserve">3　第9期は村の高齢者福祉事業の実施状況を現状として置いている。協議用素案は同じ内容を4-6（高齢者福祉サービスの量の目標）の実績の列に持つ。公表用は表を第4章5に1つだけ置き、本節からはその表を参照する形にする（同じ表を二度載せない）</w:t>
      </w:r>
    </w:p>
    <w:p>
      <w:pPr>
        <w:spacing w:after="110" w:line="275" w:lineRule="exact"/>
      </w:pPr>
      <w:r>
        <w:rPr>
          <w:rFonts w:ascii="游ゴシック" w:cs="游ゴシック" w:eastAsia="游ゴシック" w:hAnsi="游ゴシック"/>
          <w:color w:val="595959"/>
          <w:sz w:val="19"/>
          <w:szCs w:val="19"/>
        </w:rPr>
        <w:t xml:space="preserve">4　事業所と財政の状況</w:t>
      </w:r>
    </w:p>
    <w:p>
      <w:pPr>
        <w:spacing w:after="80" w:line="300" w:lineRule="exact"/>
      </w:pPr>
      <w:r>
        <w:rPr>
          <w:rFonts w:ascii="游明朝" w:cs="游明朝" w:eastAsia="游明朝" w:hAnsi="游明朝"/>
          <w:sz w:val="21"/>
          <w:szCs w:val="21"/>
        </w:rPr>
        <w:t xml:space="preserve"/>
      </w:r>
    </w:p>
    <w:p>
      <w:pPr>
        <w:keepNext/>
        <w:spacing w:after="110" w:before="190" w:line="300" w:lineRule="exact"/>
      </w:pPr>
      <w:r>
        <w:rPr>
          <w:rFonts w:ascii="游ゴシック" w:cs="游ゴシック" w:eastAsia="游ゴシック" w:hAnsi="游ゴシック"/>
          <w:b/>
          <w:bCs/>
          <w:color w:val="2E75B6"/>
          <w:sz w:val="22"/>
          <w:szCs w:val="22"/>
        </w:rPr>
        <w:t xml:space="preserve">第3章　計画の基本理念と基本目標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3931"/>
        <w:gridCol w:w="3650"/>
        <w:gridCol w:w="937"/>
      </w:tblGrid>
      <w:tr>
        <w:trPr>
          <w:tblHeader/>
        </w:trPr>
        <w:tc>
          <w:tcPr>
            <w:tcW w:type="dxa" w:w="842"/>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番号</w:t>
            </w:r>
          </w:p>
        </w:tc>
        <w:tc>
          <w:tcPr>
            <w:tcW w:type="dxa" w:w="3931"/>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第9期の項目／追加する項目</w:t>
            </w:r>
          </w:p>
        </w:tc>
        <w:tc>
          <w:tcPr>
            <w:tcW w:type="dxa" w:w="3650"/>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当てる節</w:t>
            </w:r>
          </w:p>
        </w:tc>
        <w:tc>
          <w:tcPr>
            <w:tcW w:type="dxa" w:w="937"/>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区分</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将来人口推計</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2-2</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p41</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計画の基本理念</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3-1</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p44</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3</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計画の基本目標</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3-2</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p46</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4</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計画の体系及びＳＤＧｓ</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3-4・1-7</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p47</w:t>
            </w:r>
          </w:p>
        </w:tc>
      </w:tr>
    </w:tbl>
    <w:p>
      <w:pPr>
        <w:spacing w:after="60" w:line="300" w:lineRule="exact"/>
      </w:pPr>
      <w:r>
        <w:rPr>
          <w:rFonts w:ascii="游明朝" w:cs="游明朝" w:eastAsia="游明朝" w:hAnsi="游明朝"/>
          <w:sz w:val="21"/>
          <w:szCs w:val="21"/>
        </w:rPr>
        <w:t xml:space="preserve"/>
      </w:r>
    </w:p>
    <w:p>
      <w:pPr>
        <w:spacing w:after="110" w:line="275" w:lineRule="exact"/>
      </w:pPr>
      <w:r>
        <w:rPr>
          <w:rFonts w:ascii="游ゴシック" w:cs="游ゴシック" w:eastAsia="游ゴシック" w:hAnsi="游ゴシック"/>
          <w:color w:val="595959"/>
          <w:sz w:val="19"/>
          <w:szCs w:val="19"/>
        </w:rPr>
        <w:t xml:space="preserve">1　第9期は将来人口推計を第3章に置いている。公表用もそれに倣う</w:t>
      </w:r>
    </w:p>
    <w:p>
      <w:pPr>
        <w:spacing w:after="110" w:line="275" w:lineRule="exact"/>
      </w:pPr>
      <w:r>
        <w:rPr>
          <w:rFonts w:ascii="游ゴシック" w:cs="游ゴシック" w:eastAsia="游ゴシック" w:hAnsi="游ゴシック"/>
          <w:color w:val="595959"/>
          <w:sz w:val="19"/>
          <w:szCs w:val="19"/>
        </w:rPr>
        <w:t xml:space="preserve">4　1-7（SDGsとの関係）を第3章4に統合する</w:t>
      </w:r>
    </w:p>
    <w:p>
      <w:pPr>
        <w:spacing w:after="80" w:line="300" w:lineRule="exact"/>
      </w:pPr>
      <w:r>
        <w:rPr>
          <w:rFonts w:ascii="游明朝" w:cs="游明朝" w:eastAsia="游明朝" w:hAnsi="游明朝"/>
          <w:sz w:val="21"/>
          <w:szCs w:val="21"/>
        </w:rPr>
        <w:t xml:space="preserve"/>
      </w:r>
    </w:p>
    <w:p>
      <w:pPr>
        <w:keepNext/>
        <w:spacing w:after="110" w:before="190" w:line="300" w:lineRule="exact"/>
      </w:pPr>
      <w:r>
        <w:rPr>
          <w:rFonts w:ascii="游ゴシック" w:cs="游ゴシック" w:eastAsia="游ゴシック" w:hAnsi="游ゴシック"/>
          <w:b/>
          <w:bCs/>
          <w:color w:val="2E75B6"/>
          <w:sz w:val="22"/>
          <w:szCs w:val="22"/>
        </w:rPr>
        <w:t xml:space="preserve">第4章　施策の展開</w:t>
      </w:r>
    </w:p>
    <w:p>
      <w:pPr>
        <w:spacing w:after="110" w:line="300" w:lineRule="exact"/>
      </w:pPr>
      <w:r>
        <w:rPr>
          <w:rFonts w:ascii="游明朝" w:cs="游明朝" w:eastAsia="游明朝" w:hAnsi="游明朝"/>
          <w:sz w:val="20"/>
          <w:szCs w:val="20"/>
        </w:rPr>
        <w:t xml:space="preserve">基本目標は第9期と同じ4つです。基本目標1 健康づくりと介護予防施策の充実・推進／基本目標2 安心で自分らしい生活支援の充実／基本目標3 質の高い介護サービスの充実／基本目標4 地域で支えあう仕組みづくり。番号の左側が基本目標、右側が施策です。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3931"/>
        <w:gridCol w:w="3650"/>
        <w:gridCol w:w="937"/>
      </w:tblGrid>
      <w:tr>
        <w:trPr>
          <w:tblHeader/>
        </w:trPr>
        <w:tc>
          <w:tcPr>
            <w:tcW w:type="dxa" w:w="842"/>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番号</w:t>
            </w:r>
          </w:p>
        </w:tc>
        <w:tc>
          <w:tcPr>
            <w:tcW w:type="dxa" w:w="3931"/>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第9期の項目／追加する項目</w:t>
            </w:r>
          </w:p>
        </w:tc>
        <w:tc>
          <w:tcPr>
            <w:tcW w:type="dxa" w:w="3650"/>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当てる節</w:t>
            </w:r>
          </w:p>
        </w:tc>
        <w:tc>
          <w:tcPr>
            <w:tcW w:type="dxa" w:w="937"/>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区分</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1-1</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高齢者の健康づくりの推進と介護予防</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施策1-1・施策1-3・施策1-5</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p49</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1-2</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高齢者の保健・医療・福祉サービスの充実</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施策1-6</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p50</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1-3</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介護予防・日常生活支援総合事業の充実</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施策1-2・施策1-4</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p54</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2-1</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高齢者の生きがいのある暮らしの推進</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施策2-2</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p57</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2-2</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住まいの安定的な確保</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施策2-3</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p58</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2-3</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日常生活の安全確保</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施策2-4・施策2-1・施策2-6</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p59</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2-4</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地域支え合い等の住民参加活動の促進</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施策2-5</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p61</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3-1</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居宅サービスの提供</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施策3-1・施策3-4</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p62</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3-2</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地域密着型サービスの提供</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施策3-2</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p69</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3-3</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施設サービスの提供</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施策3-3</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p70</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4-1</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地域包括ケアシステムの深化・推進</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施策4-1・施策4-2・施策4-3・施策4-5</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p72</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4-2</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認知症施策の推進</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施策4-4</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p74</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4-3</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任意事業の充実</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5-5</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p75</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4-4</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成年後見制度の利用促進</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施策4-7</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p77</w:t>
            </w:r>
          </w:p>
        </w:tc>
      </w:tr>
      <w:tr>
        <w:tc>
          <w:tcPr>
            <w:tcW w:type="dxa" w:w="842"/>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4-5</w:t>
            </w:r>
          </w:p>
        </w:tc>
        <w:tc>
          <w:tcPr>
            <w:tcW w:type="dxa" w:w="3931"/>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介護人材の確保と生産性向上</w:t>
            </w:r>
          </w:p>
        </w:tc>
        <w:tc>
          <w:tcPr>
            <w:tcW w:type="dxa" w:w="3650"/>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施策4-6</w:t>
            </w:r>
          </w:p>
        </w:tc>
        <w:tc>
          <w:tcPr>
            <w:tcW w:type="dxa" w:w="937"/>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追加</w:t>
            </w:r>
          </w:p>
        </w:tc>
      </w:tr>
      <w:tr>
        <w:tc>
          <w:tcPr>
            <w:tcW w:type="dxa" w:w="842"/>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5</w:t>
            </w:r>
          </w:p>
        </w:tc>
        <w:tc>
          <w:tcPr>
            <w:tcW w:type="dxa" w:w="3931"/>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高齢者福祉サービスの量の目標</w:t>
            </w:r>
          </w:p>
        </w:tc>
        <w:tc>
          <w:tcPr>
            <w:tcW w:type="dxa" w:w="3650"/>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4-6</w:t>
            </w:r>
          </w:p>
        </w:tc>
        <w:tc>
          <w:tcPr>
            <w:tcW w:type="dxa" w:w="937"/>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追加</w:t>
            </w:r>
          </w:p>
        </w:tc>
      </w:tr>
      <w:tr>
        <w:tc>
          <w:tcPr>
            <w:tcW w:type="dxa" w:w="842"/>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6</w:t>
            </w:r>
          </w:p>
        </w:tc>
        <w:tc>
          <w:tcPr>
            <w:tcW w:type="dxa" w:w="3931"/>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認知症施策推進計画としての位置づけ</w:t>
            </w:r>
          </w:p>
        </w:tc>
        <w:tc>
          <w:tcPr>
            <w:tcW w:type="dxa" w:w="3650"/>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4-7</w:t>
            </w:r>
          </w:p>
        </w:tc>
        <w:tc>
          <w:tcPr>
            <w:tcW w:type="dxa" w:w="937"/>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追加</w:t>
            </w:r>
          </w:p>
        </w:tc>
      </w:tr>
    </w:tbl>
    <w:p>
      <w:pPr>
        <w:spacing w:after="60" w:line="300" w:lineRule="exact"/>
      </w:pPr>
      <w:r>
        <w:rPr>
          <w:rFonts w:ascii="游明朝" w:cs="游明朝" w:eastAsia="游明朝" w:hAnsi="游明朝"/>
          <w:sz w:val="21"/>
          <w:szCs w:val="21"/>
        </w:rPr>
        <w:t xml:space="preserve"/>
      </w:r>
    </w:p>
    <w:p>
      <w:pPr>
        <w:spacing w:after="110" w:line="275" w:lineRule="exact"/>
      </w:pPr>
      <w:r>
        <w:rPr>
          <w:rFonts w:ascii="游ゴシック" w:cs="游ゴシック" w:eastAsia="游ゴシック" w:hAnsi="游ゴシック"/>
          <w:color w:val="595959"/>
          <w:sz w:val="19"/>
          <w:szCs w:val="19"/>
        </w:rPr>
        <w:t xml:space="preserve">2-3　移動支援と除雪を日常生活の安全確保に含める</w:t>
      </w:r>
    </w:p>
    <w:p>
      <w:pPr>
        <w:spacing w:after="110" w:line="275" w:lineRule="exact"/>
      </w:pPr>
      <w:r>
        <w:rPr>
          <w:rFonts w:ascii="游ゴシック" w:cs="游ゴシック" w:eastAsia="游ゴシック" w:hAnsi="游ゴシック"/>
          <w:color w:val="595959"/>
          <w:sz w:val="19"/>
          <w:szCs w:val="19"/>
        </w:rPr>
        <w:t xml:space="preserve">4-3　第9期の任意事業の充実。協議用は5-5（地域支援事業の見込み）に任意事業を置いている。公表用は第4章4-3と第5章2に分ける</w:t>
      </w:r>
    </w:p>
    <w:p>
      <w:pPr>
        <w:spacing w:after="80" w:line="300" w:lineRule="exact"/>
      </w:pPr>
      <w:r>
        <w:rPr>
          <w:rFonts w:ascii="游明朝" w:cs="游明朝" w:eastAsia="游明朝" w:hAnsi="游明朝"/>
          <w:sz w:val="21"/>
          <w:szCs w:val="21"/>
        </w:rPr>
        <w:t xml:space="preserve"/>
      </w:r>
    </w:p>
    <w:p>
      <w:pPr>
        <w:keepNext/>
        <w:spacing w:after="110" w:before="190" w:line="300" w:lineRule="exact"/>
      </w:pPr>
      <w:r>
        <w:rPr>
          <w:rFonts w:ascii="游ゴシック" w:cs="游ゴシック" w:eastAsia="游ゴシック" w:hAnsi="游ゴシック"/>
          <w:b/>
          <w:bCs/>
          <w:color w:val="2E75B6"/>
          <w:sz w:val="22"/>
          <w:szCs w:val="22"/>
        </w:rPr>
        <w:t xml:space="preserve">第5章　介護保険料の設定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3931"/>
        <w:gridCol w:w="3650"/>
        <w:gridCol w:w="937"/>
      </w:tblGrid>
      <w:tr>
        <w:trPr>
          <w:tblHeader/>
        </w:trPr>
        <w:tc>
          <w:tcPr>
            <w:tcW w:type="dxa" w:w="842"/>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番号</w:t>
            </w:r>
          </w:p>
        </w:tc>
        <w:tc>
          <w:tcPr>
            <w:tcW w:type="dxa" w:w="3931"/>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第9期の項目／追加する項目</w:t>
            </w:r>
          </w:p>
        </w:tc>
        <w:tc>
          <w:tcPr>
            <w:tcW w:type="dxa" w:w="3650"/>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当てる節</w:t>
            </w:r>
          </w:p>
        </w:tc>
        <w:tc>
          <w:tcPr>
            <w:tcW w:type="dxa" w:w="937"/>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区分</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介護保険料の設定</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5-7・5-1</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p81</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給付費等の今後の見込み</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5-6・5-2・5-3・5-4</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p86</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3</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介護給付適正化計画</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5-8・施策3-5</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p88</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4</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保険者機能強化推進交付金等の活用</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5-9</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p89</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5</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低所得者への対応</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5-10</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p91</w:t>
            </w:r>
          </w:p>
        </w:tc>
      </w:tr>
      <w:tr>
        <w:tc>
          <w:tcPr>
            <w:tcW w:type="dxa" w:w="842"/>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6</w:t>
            </w:r>
          </w:p>
        </w:tc>
        <w:tc>
          <w:tcPr>
            <w:tcW w:type="dxa" w:w="3931"/>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中長期的な推計と取り組むべき施策</w:t>
            </w:r>
          </w:p>
        </w:tc>
        <w:tc>
          <w:tcPr>
            <w:tcW w:type="dxa" w:w="3650"/>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5-11・資10</w:t>
            </w:r>
          </w:p>
        </w:tc>
        <w:tc>
          <w:tcPr>
            <w:tcW w:type="dxa" w:w="937"/>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追加</w:t>
            </w:r>
          </w:p>
        </w:tc>
      </w:tr>
    </w:tbl>
    <w:p>
      <w:pPr>
        <w:spacing w:after="60" w:line="300" w:lineRule="exact"/>
      </w:pPr>
      <w:r>
        <w:rPr>
          <w:rFonts w:ascii="游明朝" w:cs="游明朝" w:eastAsia="游明朝" w:hAnsi="游明朝"/>
          <w:sz w:val="21"/>
          <w:szCs w:val="21"/>
        </w:rPr>
        <w:t xml:space="preserve"/>
      </w:r>
    </w:p>
    <w:p>
      <w:pPr>
        <w:spacing w:after="110" w:line="275" w:lineRule="exact"/>
      </w:pPr>
      <w:r>
        <w:rPr>
          <w:rFonts w:ascii="游ゴシック" w:cs="游ゴシック" w:eastAsia="游ゴシック" w:hAnsi="游ゴシック"/>
          <w:color w:val="595959"/>
          <w:sz w:val="19"/>
          <w:szCs w:val="19"/>
        </w:rPr>
        <w:t xml:space="preserve">1　5-1（推計の考え方）は算定の前提として冒頭に置く</w:t>
      </w:r>
    </w:p>
    <w:p>
      <w:pPr>
        <w:spacing w:after="110" w:line="275" w:lineRule="exact"/>
      </w:pPr>
      <w:r>
        <w:rPr>
          <w:rFonts w:ascii="游ゴシック" w:cs="游ゴシック" w:eastAsia="游ゴシック" w:hAnsi="游ゴシック"/>
          <w:color w:val="595959"/>
          <w:sz w:val="19"/>
          <w:szCs w:val="19"/>
        </w:rPr>
        <w:t xml:space="preserve">2　介護保険法第117条第2項第1号のサービスの種類ごとの量の見込みを含む</w:t>
      </w:r>
    </w:p>
    <w:p>
      <w:pPr>
        <w:spacing w:after="110" w:line="275" w:lineRule="exact"/>
      </w:pPr>
      <w:r>
        <w:rPr>
          <w:rFonts w:ascii="游ゴシック" w:cs="游ゴシック" w:eastAsia="游ゴシック" w:hAnsi="游ゴシック"/>
          <w:color w:val="595959"/>
          <w:sz w:val="19"/>
          <w:szCs w:val="19"/>
        </w:rPr>
        <w:t xml:space="preserve">3　施策3-5（介護給付の適正化）は第9期では第5章3にある</w:t>
      </w:r>
    </w:p>
    <w:p>
      <w:pPr>
        <w:spacing w:after="80" w:line="300" w:lineRule="exact"/>
      </w:pPr>
      <w:r>
        <w:rPr>
          <w:rFonts w:ascii="游明朝" w:cs="游明朝" w:eastAsia="游明朝" w:hAnsi="游明朝"/>
          <w:sz w:val="21"/>
          <w:szCs w:val="21"/>
        </w:rPr>
        <w:t xml:space="preserve"/>
      </w:r>
    </w:p>
    <w:p>
      <w:pPr>
        <w:keepNext/>
        <w:spacing w:after="110" w:before="190" w:line="300" w:lineRule="exact"/>
      </w:pPr>
      <w:r>
        <w:rPr>
          <w:rFonts w:ascii="游ゴシック" w:cs="游ゴシック" w:eastAsia="游ゴシック" w:hAnsi="游ゴシック"/>
          <w:b/>
          <w:bCs/>
          <w:color w:val="2E75B6"/>
          <w:sz w:val="22"/>
          <w:szCs w:val="22"/>
        </w:rPr>
        <w:t xml:space="preserve">第6章　計画の推進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3931"/>
        <w:gridCol w:w="3650"/>
        <w:gridCol w:w="937"/>
      </w:tblGrid>
      <w:tr>
        <w:trPr>
          <w:tblHeader/>
        </w:trPr>
        <w:tc>
          <w:tcPr>
            <w:tcW w:type="dxa" w:w="842"/>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番号</w:t>
            </w:r>
          </w:p>
        </w:tc>
        <w:tc>
          <w:tcPr>
            <w:tcW w:type="dxa" w:w="3931"/>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第9期の項目／追加する項目</w:t>
            </w:r>
          </w:p>
        </w:tc>
        <w:tc>
          <w:tcPr>
            <w:tcW w:type="dxa" w:w="3650"/>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当てる節</w:t>
            </w:r>
          </w:p>
        </w:tc>
        <w:tc>
          <w:tcPr>
            <w:tcW w:type="dxa" w:w="937"/>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区分</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ＰＤＣＡサイクルの推進</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6-2・6-3・6-4・6-5</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p93</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計画の推進体制</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6-1・4-5</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p94</w:t>
            </w:r>
          </w:p>
        </w:tc>
      </w:tr>
    </w:tbl>
    <w:p>
      <w:pPr>
        <w:spacing w:after="60" w:line="300" w:lineRule="exact"/>
      </w:pPr>
      <w:r>
        <w:rPr>
          <w:rFonts w:ascii="游明朝" w:cs="游明朝" w:eastAsia="游明朝" w:hAnsi="游明朝"/>
          <w:sz w:val="21"/>
          <w:szCs w:val="21"/>
        </w:rPr>
        <w:t xml:space="preserve"/>
      </w:r>
    </w:p>
    <w:p>
      <w:pPr>
        <w:spacing w:after="110" w:line="275" w:lineRule="exact"/>
      </w:pPr>
      <w:r>
        <w:rPr>
          <w:rFonts w:ascii="游ゴシック" w:cs="游ゴシック" w:eastAsia="游ゴシック" w:hAnsi="游ゴシック"/>
          <w:color w:val="595959"/>
          <w:sz w:val="19"/>
          <w:szCs w:val="19"/>
        </w:rPr>
        <w:t xml:space="preserve">1　PDCAの仕組みと指標・乖離の検証・見直し</w:t>
      </w:r>
    </w:p>
    <w:p>
      <w:pPr>
        <w:spacing w:after="110" w:line="275" w:lineRule="exact"/>
      </w:pPr>
      <w:r>
        <w:rPr>
          <w:rFonts w:ascii="游ゴシック" w:cs="游ゴシック" w:eastAsia="游ゴシック" w:hAnsi="游ゴシック"/>
          <w:color w:val="595959"/>
          <w:sz w:val="19"/>
          <w:szCs w:val="19"/>
        </w:rPr>
        <w:t xml:space="preserve">2　4-5（基本目標5 計画の推進と進捗管理）は第6章に戻す</w:t>
      </w:r>
    </w:p>
    <w:p>
      <w:pPr>
        <w:spacing w:after="80" w:line="300" w:lineRule="exact"/>
      </w:pPr>
      <w:r>
        <w:rPr>
          <w:rFonts w:ascii="游明朝" w:cs="游明朝" w:eastAsia="游明朝" w:hAnsi="游明朝"/>
          <w:sz w:val="21"/>
          <w:szCs w:val="21"/>
        </w:rPr>
        <w:t xml:space="preserve"/>
      </w:r>
    </w:p>
    <w:p>
      <w:pPr>
        <w:keepNext/>
        <w:spacing w:after="110" w:before="190" w:line="300" w:lineRule="exact"/>
      </w:pPr>
      <w:r>
        <w:rPr>
          <w:rFonts w:ascii="游ゴシック" w:cs="游ゴシック" w:eastAsia="游ゴシック" w:hAnsi="游ゴシック"/>
          <w:b/>
          <w:bCs/>
          <w:color w:val="2E75B6"/>
          <w:sz w:val="22"/>
          <w:szCs w:val="22"/>
        </w:rPr>
        <w:t xml:space="preserve">資料編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3931"/>
        <w:gridCol w:w="3650"/>
        <w:gridCol w:w="937"/>
      </w:tblGrid>
      <w:tr>
        <w:trPr>
          <w:tblHeader/>
        </w:trPr>
        <w:tc>
          <w:tcPr>
            <w:tcW w:type="dxa" w:w="842"/>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番号</w:t>
            </w:r>
          </w:p>
        </w:tc>
        <w:tc>
          <w:tcPr>
            <w:tcW w:type="dxa" w:w="3931"/>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第9期の項目／追加する項目</w:t>
            </w:r>
          </w:p>
        </w:tc>
        <w:tc>
          <w:tcPr>
            <w:tcW w:type="dxa" w:w="3650"/>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当てる節</w:t>
            </w:r>
          </w:p>
        </w:tc>
        <w:tc>
          <w:tcPr>
            <w:tcW w:type="dxa" w:w="937"/>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区分</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○1</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第９期介護保険事業計画の基本指針のポイント</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資6</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p95</w:t>
            </w:r>
          </w:p>
        </w:tc>
      </w:tr>
      <w:tr>
        <w:tc>
          <w:tcPr>
            <w:tcW w:type="dxa" w:w="842"/>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w:t>
            </w:r>
          </w:p>
        </w:tc>
        <w:tc>
          <w:tcPr>
            <w:tcW w:type="dxa" w:w="3931"/>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介護に関する用語集</w:t>
            </w:r>
          </w:p>
        </w:tc>
        <w:tc>
          <w:tcPr>
            <w:tcW w:type="dxa" w:w="3650"/>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資5</w:t>
            </w:r>
          </w:p>
        </w:tc>
        <w:tc>
          <w:tcPr>
            <w:tcW w:type="dxa" w:w="937"/>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p97</w:t>
            </w:r>
          </w:p>
        </w:tc>
      </w:tr>
      <w:tr>
        <w:tc>
          <w:tcPr>
            <w:tcW w:type="dxa" w:w="842"/>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○3</w:t>
            </w:r>
          </w:p>
        </w:tc>
        <w:tc>
          <w:tcPr>
            <w:tcW w:type="dxa" w:w="3931"/>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関連計画との対照</w:t>
            </w:r>
          </w:p>
        </w:tc>
        <w:tc>
          <w:tcPr>
            <w:tcW w:type="dxa" w:w="3650"/>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資9</w:t>
            </w:r>
          </w:p>
        </w:tc>
        <w:tc>
          <w:tcPr>
            <w:tcW w:type="dxa" w:w="937"/>
            <w:shd w:fill="FFF2CC"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追加</w:t>
            </w:r>
          </w:p>
        </w:tc>
      </w:tr>
    </w:tbl>
    <w:p>
      <w:pPr>
        <w:spacing w:after="60" w:line="300" w:lineRule="exact"/>
      </w:pPr>
      <w:r>
        <w:rPr>
          <w:rFonts w:ascii="游明朝" w:cs="游明朝" w:eastAsia="游明朝" w:hAnsi="游明朝"/>
          <w:sz w:val="21"/>
          <w:szCs w:val="21"/>
        </w:rPr>
        <w:t xml:space="preserve"/>
      </w:r>
    </w:p>
    <w:p>
      <w:pPr>
        <w:spacing w:after="110" w:line="275" w:lineRule="exact"/>
      </w:pPr>
      <w:r>
        <w:rPr>
          <w:rFonts w:ascii="游ゴシック" w:cs="游ゴシック" w:eastAsia="游ゴシック" w:hAnsi="游ゴシック"/>
          <w:color w:val="595959"/>
          <w:sz w:val="19"/>
          <w:szCs w:val="19"/>
        </w:rPr>
        <w:t xml:space="preserve">○1　第10期の基本指針のポイントに置き換える</w:t>
      </w:r>
    </w:p>
    <w:p>
      <w:pPr>
        <w:spacing w:after="80" w:line="300" w:lineRule="exact"/>
      </w:pPr>
      <w:r>
        <w:rPr>
          <w:rFonts w:ascii="游明朝" w:cs="游明朝" w:eastAsia="游明朝" w:hAnsi="游明朝"/>
          <w:sz w:val="21"/>
          <w:szCs w:val="21"/>
        </w:rPr>
        <w:t xml:space="preserve"/>
      </w:r>
    </w:p>
    <w:p>
      <w:r>
        <w:br w:type="page"/>
      </w:r>
    </w:p>
    <w:p>
      <w:pPr>
        <w:keepNext/>
        <w:spacing w:after="150" w:before="280" w:line="320" w:lineRule="exact"/>
      </w:pPr>
      <w:r>
        <w:rPr>
          <w:rFonts w:ascii="游ゴシック" w:cs="游ゴシック" w:eastAsia="游ゴシック" w:hAnsi="游ゴシック"/>
          <w:b/>
          <w:bCs/>
          <w:color w:val="1F3864"/>
          <w:sz w:val="26"/>
          <w:szCs w:val="26"/>
        </w:rPr>
        <w:t xml:space="preserve">3　新たに加える項目と、その根拠</w:t>
      </w:r>
    </w:p>
    <w:p>
      <w:pPr>
        <w:spacing w:after="130" w:line="300" w:lineRule="exact"/>
      </w:pPr>
      <w:r>
        <w:rPr>
          <w:rFonts w:ascii="游明朝" w:cs="游明朝" w:eastAsia="游明朝" w:hAnsi="游明朝"/>
          <w:sz w:val="21"/>
          <w:szCs w:val="21"/>
        </w:rPr>
        <w:t xml:space="preserve">いずれも第9期計画に対応する記載がなく、法令または基本指針が求めるものです。</w:t>
      </w:r>
    </w:p>
    <w:p>
      <w:pPr>
        <w:keepNext/>
        <w:spacing w:after="50" w:before="160" w:line="280" w:lineRule="exact"/>
      </w:pPr>
      <w:r>
        <w:rPr>
          <w:rFonts w:ascii="游ゴシック" w:cs="游ゴシック" w:eastAsia="游ゴシック" w:hAnsi="游ゴシック"/>
          <w:b/>
          <w:bCs/>
          <w:color w:val="1F3864"/>
          <w:sz w:val="20"/>
          <w:szCs w:val="20"/>
        </w:rPr>
        <w:t xml:space="preserve">第1章 7　介護保険制度改正の主な内容</w:t>
      </w:r>
      <w:r>
        <w:rPr>
          <w:rFonts w:ascii="游ゴシック" w:cs="游ゴシック" w:eastAsia="游ゴシック" w:hAnsi="游ゴシック"/>
          <w:color w:val="595959"/>
          <w:sz w:val="18"/>
          <w:szCs w:val="18"/>
        </w:rPr>
        <w:t xml:space="preserve">　［法律］　← 1-8</w:t>
      </w:r>
    </w:p>
    <w:p>
      <w:pPr>
        <w:spacing w:after="60" w:line="300" w:lineRule="exact"/>
      </w:pPr>
      <w:r>
        <w:rPr>
          <w:rFonts w:ascii="游明朝" w:cs="游明朝" w:eastAsia="游明朝" w:hAnsi="游明朝"/>
          <w:sz w:val="20"/>
          <w:szCs w:val="20"/>
        </w:rPr>
        <w:t xml:space="preserve">社会福祉法等の一部を改正する法律（令和8年法律第51号。令和9年4月1日施行）により介護保険法第117条の記載事項が追加されたため、改正の内容を示す必要がある</w:t>
      </w:r>
    </w:p>
    <w:p>
      <w:pPr>
        <w:keepNext/>
        <w:spacing w:after="50" w:before="160" w:line="280" w:lineRule="exact"/>
      </w:pPr>
      <w:r>
        <w:rPr>
          <w:rFonts w:ascii="游ゴシック" w:cs="游ゴシック" w:eastAsia="游ゴシック" w:hAnsi="游ゴシック"/>
          <w:b/>
          <w:bCs/>
          <w:color w:val="1F3864"/>
          <w:sz w:val="20"/>
          <w:szCs w:val="20"/>
        </w:rPr>
        <w:t xml:space="preserve">第4章 4-5　介護人材の確保と生産性向上</w:t>
      </w:r>
      <w:r>
        <w:rPr>
          <w:rFonts w:ascii="游ゴシック" w:cs="游ゴシック" w:eastAsia="游ゴシック" w:hAnsi="游ゴシック"/>
          <w:color w:val="595959"/>
          <w:sz w:val="18"/>
          <w:szCs w:val="18"/>
        </w:rPr>
        <w:t xml:space="preserve">　［基本指針］　← 施策4-6</w:t>
      </w:r>
    </w:p>
    <w:p>
      <w:pPr>
        <w:spacing w:after="60" w:line="300" w:lineRule="exact"/>
      </w:pPr>
      <w:r>
        <w:rPr>
          <w:rFonts w:ascii="游明朝" w:cs="游明朝" w:eastAsia="游明朝" w:hAnsi="游明朝"/>
          <w:sz w:val="20"/>
          <w:szCs w:val="20"/>
        </w:rPr>
        <w:t xml:space="preserve">第10期介護保険事業計画の基本指針において、介護人材の確保および介護現場の生産性の向上に資する事業に関する事項が定めるよう努める事項とされている（介護保険法第117条第3項）</w:t>
      </w:r>
    </w:p>
    <w:p>
      <w:pPr>
        <w:keepNext/>
        <w:spacing w:after="50" w:before="160" w:line="280" w:lineRule="exact"/>
      </w:pPr>
      <w:r>
        <w:rPr>
          <w:rFonts w:ascii="游ゴシック" w:cs="游ゴシック" w:eastAsia="游ゴシック" w:hAnsi="游ゴシック"/>
          <w:b/>
          <w:bCs/>
          <w:color w:val="1F3864"/>
          <w:sz w:val="20"/>
          <w:szCs w:val="20"/>
        </w:rPr>
        <w:t xml:space="preserve">第4章 5　高齢者福祉サービスの量の目標</w:t>
      </w:r>
      <w:r>
        <w:rPr>
          <w:rFonts w:ascii="游ゴシック" w:cs="游ゴシック" w:eastAsia="游ゴシック" w:hAnsi="游ゴシック"/>
          <w:color w:val="595959"/>
          <w:sz w:val="18"/>
          <w:szCs w:val="18"/>
        </w:rPr>
        <w:t xml:space="preserve">　［法律］　← 4-6</w:t>
      </w:r>
    </w:p>
    <w:p>
      <w:pPr>
        <w:spacing w:after="60" w:line="300" w:lineRule="exact"/>
      </w:pPr>
      <w:r>
        <w:rPr>
          <w:rFonts w:ascii="游明朝" w:cs="游明朝" w:eastAsia="游明朝" w:hAnsi="游明朝"/>
          <w:sz w:val="20"/>
          <w:szCs w:val="20"/>
        </w:rPr>
        <w:t xml:space="preserve">老人福祉法第20条の8第2項が、確保すべき老人福祉事業の量の目標を定めることを求めている。第9期計画には対応する記載がない</w:t>
      </w:r>
    </w:p>
    <w:p>
      <w:pPr>
        <w:keepNext/>
        <w:spacing w:after="50" w:before="160" w:line="280" w:lineRule="exact"/>
      </w:pPr>
      <w:r>
        <w:rPr>
          <w:rFonts w:ascii="游ゴシック" w:cs="游ゴシック" w:eastAsia="游ゴシック" w:hAnsi="游ゴシック"/>
          <w:b/>
          <w:bCs/>
          <w:color w:val="1F3864"/>
          <w:sz w:val="20"/>
          <w:szCs w:val="20"/>
        </w:rPr>
        <w:t xml:space="preserve">第4章 6　認知症施策推進計画としての位置づけ</w:t>
      </w:r>
      <w:r>
        <w:rPr>
          <w:rFonts w:ascii="游ゴシック" w:cs="游ゴシック" w:eastAsia="游ゴシック" w:hAnsi="游ゴシック"/>
          <w:color w:val="595959"/>
          <w:sz w:val="18"/>
          <w:szCs w:val="18"/>
        </w:rPr>
        <w:t xml:space="preserve">　［法律］　← 4-7</w:t>
      </w:r>
    </w:p>
    <w:p>
      <w:pPr>
        <w:spacing w:after="60" w:line="300" w:lineRule="exact"/>
      </w:pPr>
      <w:r>
        <w:rPr>
          <w:rFonts w:ascii="游明朝" w:cs="游明朝" w:eastAsia="游明朝" w:hAnsi="游明朝"/>
          <w:sz w:val="20"/>
          <w:szCs w:val="20"/>
        </w:rPr>
        <w:t xml:space="preserve">共生社会の実現を推進するための認知症基本法（令和5年法律第65号）第13条第1項の市町村認知症施策推進計画を兼ねる。第9期計画には対応する記載がない</w:t>
      </w:r>
    </w:p>
    <w:p>
      <w:pPr>
        <w:keepNext/>
        <w:spacing w:after="50" w:before="160" w:line="280" w:lineRule="exact"/>
      </w:pPr>
      <w:r>
        <w:rPr>
          <w:rFonts w:ascii="游ゴシック" w:cs="游ゴシック" w:eastAsia="游ゴシック" w:hAnsi="游ゴシック"/>
          <w:b/>
          <w:bCs/>
          <w:color w:val="1F3864"/>
          <w:sz w:val="20"/>
          <w:szCs w:val="20"/>
        </w:rPr>
        <w:t xml:space="preserve">第5章 6　中長期的な推計と取り組むべき施策</w:t>
      </w:r>
      <w:r>
        <w:rPr>
          <w:rFonts w:ascii="游ゴシック" w:cs="游ゴシック" w:eastAsia="游ゴシック" w:hAnsi="游ゴシック"/>
          <w:color w:val="595959"/>
          <w:sz w:val="18"/>
          <w:szCs w:val="18"/>
        </w:rPr>
        <w:t xml:space="preserve">　［法律］　← 5-11・資10</w:t>
      </w:r>
    </w:p>
    <w:p>
      <w:pPr>
        <w:spacing w:after="60" w:line="300" w:lineRule="exact"/>
      </w:pPr>
      <w:r>
        <w:rPr>
          <w:rFonts w:ascii="游明朝" w:cs="游明朝" w:eastAsia="游明朝" w:hAnsi="游明朝"/>
          <w:sz w:val="20"/>
          <w:szCs w:val="20"/>
        </w:rPr>
        <w:t xml:space="preserve">令和8年法律第51号により、中長期的なサービス量等の推計と、中長期的な観点から取り組むべき施策を定めることが必須とされた（令和9年4月1日施行）</w:t>
      </w:r>
    </w:p>
    <w:p>
      <w:pPr>
        <w:keepNext/>
        <w:spacing w:after="50" w:before="160" w:line="280" w:lineRule="exact"/>
      </w:pPr>
      <w:r>
        <w:rPr>
          <w:rFonts w:ascii="游ゴシック" w:cs="游ゴシック" w:eastAsia="游ゴシック" w:hAnsi="游ゴシック"/>
          <w:b/>
          <w:bCs/>
          <w:color w:val="1F3864"/>
          <w:sz w:val="20"/>
          <w:szCs w:val="20"/>
        </w:rPr>
        <w:t xml:space="preserve">資料編 ○3　関連計画との対照</w:t>
      </w:r>
      <w:r>
        <w:rPr>
          <w:rFonts w:ascii="游ゴシック" w:cs="游ゴシック" w:eastAsia="游ゴシック" w:hAnsi="游ゴシック"/>
          <w:color w:val="595959"/>
          <w:sz w:val="18"/>
          <w:szCs w:val="18"/>
        </w:rPr>
        <w:t xml:space="preserve">　［法律］　← 資9</w:t>
      </w:r>
    </w:p>
    <w:p>
      <w:pPr>
        <w:spacing w:after="60" w:line="300" w:lineRule="exact"/>
      </w:pPr>
      <w:r>
        <w:rPr>
          <w:rFonts w:ascii="游明朝" w:cs="游明朝" w:eastAsia="游明朝" w:hAnsi="游明朝"/>
          <w:sz w:val="20"/>
          <w:szCs w:val="20"/>
        </w:rPr>
        <w:t xml:space="preserve">介護保険法第117条第8項および老人福祉法第20条の8第8項が、関連計画との調和を求めている。同時に策定している障がい福祉計画との整合を示す</w:t>
      </w:r>
    </w:p>
    <w:p>
      <w:pPr>
        <w:keepNext/>
        <w:spacing w:after="150" w:before="280" w:line="320" w:lineRule="exact"/>
      </w:pPr>
      <w:r>
        <w:rPr>
          <w:rFonts w:ascii="游ゴシック" w:cs="游ゴシック" w:eastAsia="游ゴシック" w:hAnsi="游ゴシック"/>
          <w:b/>
          <w:bCs/>
          <w:color w:val="1F3864"/>
          <w:sz w:val="26"/>
          <w:szCs w:val="26"/>
        </w:rPr>
        <w:t xml:space="preserve">4　協議用にのみ置く節</w:t>
      </w:r>
    </w:p>
    <w:p>
      <w:pPr>
        <w:spacing w:after="130" w:line="300" w:lineRule="exact"/>
      </w:pPr>
      <w:r>
        <w:rPr>
          <w:rFonts w:ascii="游明朝" w:cs="游明朝" w:eastAsia="游明朝" w:hAnsi="游明朝"/>
          <w:sz w:val="21"/>
          <w:szCs w:val="21"/>
        </w:rPr>
        <w:t xml:space="preserve">12節です。いずれも第9期計画に対応する記載がないか、他の節に織り込めるものです。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8424"/>
      </w:tblGrid>
      <w:tr>
        <w:trPr>
          <w:tblHeader/>
        </w:trPr>
        <w:tc>
          <w:tcPr>
            <w:tcW w:type="dxa" w:w="936"/>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節</w:t>
            </w:r>
          </w:p>
        </w:tc>
        <w:tc>
          <w:tcPr>
            <w:tcW w:type="dxa" w:w="8424"/>
            <w:shd w:fill="2E75B6" w:val="clear"/>
            <w:tcMar>
              <w:top w:type="dxa" w:w="55"/>
              <w:left w:type="dxa" w:w="80"/>
              <w:bottom w:type="dxa" w:w="55"/>
              <w:right w:type="dxa" w:w="80"/>
            </w:tcMar>
          </w:tcPr>
          <w:p>
            <w:pPr>
              <w:spacing w:after="0" w:line="235" w:lineRule="exact"/>
              <w:jc w:val="center"/>
            </w:pPr>
            <w:r>
              <w:rPr>
                <w:rFonts w:ascii="游ゴシック" w:cs="游ゴシック" w:eastAsia="游ゴシック" w:hAnsi="游ゴシック"/>
                <w:b/>
                <w:bCs/>
                <w:color w:val="FFFFFF"/>
                <w:sz w:val="16"/>
                <w:szCs w:val="16"/>
              </w:rPr>
              <w:t xml:space="preserve">公表用に載せない理由</w:t>
            </w:r>
          </w:p>
        </w:tc>
      </w:tr>
      <w:tr>
        <w:tc>
          <w:tcPr>
            <w:tcW w:type="dxa" w:w="936"/>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2-8</w:t>
            </w:r>
          </w:p>
        </w:tc>
        <w:tc>
          <w:tcPr>
            <w:tcW w:type="dxa" w:w="8424"/>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保険者機能の評価。交付金の得点の明細であり、村の取組の判断材料である。公表用には5-9（交付金の活用）に要点のみを残す。明細は成果品15（交付金の獲得状況と優先順位）が持つ</w:t>
            </w:r>
          </w:p>
        </w:tc>
      </w:tr>
      <w:tr>
        <w:tc>
          <w:tcPr>
            <w:tcW w:type="dxa" w:w="936"/>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2-9</w:t>
            </w:r>
          </w:p>
        </w:tc>
        <w:tc>
          <w:tcPr>
            <w:tcW w:type="dxa" w:w="8424"/>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第9期計画の進捗と評価。計画値と実績値の乖離の検証であり、公表用には第6章1（PDCA）に要点のみを残す</w:t>
            </w:r>
          </w:p>
        </w:tc>
      </w:tr>
      <w:tr>
        <w:tc>
          <w:tcPr>
            <w:tcW w:type="dxa" w:w="936"/>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2-11</w:t>
            </w:r>
          </w:p>
        </w:tc>
        <w:tc>
          <w:tcPr>
            <w:tcW w:type="dxa" w:w="8424"/>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本村の課題。第2章の各節から導いたもので、公表用には第3章2（基本理念）・第3章3（基本目標）に織り込む</w:t>
            </w:r>
          </w:p>
        </w:tc>
      </w:tr>
      <w:tr>
        <w:tc>
          <w:tcPr>
            <w:tcW w:type="dxa" w:w="936"/>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3-3</w:t>
            </w:r>
          </w:p>
        </w:tc>
        <w:tc>
          <w:tcPr>
            <w:tcW w:type="dxa" w:w="8424"/>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第10期の重点。協議のための整理であり、公表用には第3章3（基本目標）に織り込む</w:t>
            </w:r>
          </w:p>
        </w:tc>
      </w:tr>
      <w:tr>
        <w:tc>
          <w:tcPr>
            <w:tcW w:type="dxa" w:w="936"/>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3-5</w:t>
            </w:r>
          </w:p>
        </w:tc>
        <w:tc>
          <w:tcPr>
            <w:tcW w:type="dxa" w:w="8424"/>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施策体系の対応表。第9期の施策と第10期の施策の対応を示す協議用の表</w:t>
            </w:r>
          </w:p>
        </w:tc>
      </w:tr>
      <w:tr>
        <w:tc>
          <w:tcPr>
            <w:tcW w:type="dxa" w:w="936"/>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5-12</w:t>
            </w:r>
          </w:p>
        </w:tc>
        <w:tc>
          <w:tcPr>
            <w:tcW w:type="dxa" w:w="8424"/>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現時点で据え置いた項目と確定の条件。数値が確定した段階で削除する</w:t>
            </w:r>
          </w:p>
        </w:tc>
      </w:tr>
      <w:tr>
        <w:tc>
          <w:tcPr>
            <w:tcW w:type="dxa" w:w="936"/>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資1</w:t>
            </w:r>
          </w:p>
        </w:tc>
        <w:tc>
          <w:tcPr>
            <w:tcW w:type="dxa" w:w="8424"/>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計画の策定経過。第9期は第1章6（計画の策定体制）に含めている</w:t>
            </w:r>
          </w:p>
        </w:tc>
      </w:tr>
      <w:tr>
        <w:tc>
          <w:tcPr>
            <w:tcW w:type="dxa" w:w="936"/>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資2</w:t>
            </w:r>
          </w:p>
        </w:tc>
        <w:tc>
          <w:tcPr>
            <w:tcW w:type="dxa" w:w="8424"/>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策定委員会の名簿。第9期は第1章6に含めている</w:t>
            </w:r>
          </w:p>
        </w:tc>
      </w:tr>
      <w:tr>
        <w:tc>
          <w:tcPr>
            <w:tcW w:type="dxa" w:w="936"/>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資3</w:t>
            </w:r>
          </w:p>
        </w:tc>
        <w:tc>
          <w:tcPr>
            <w:tcW w:type="dxa" w:w="8424"/>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アンケート調査の概要。第9期は第2章6に含めている</w:t>
            </w:r>
          </w:p>
        </w:tc>
      </w:tr>
      <w:tr>
        <w:tc>
          <w:tcPr>
            <w:tcW w:type="dxa" w:w="936"/>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資4</w:t>
            </w:r>
          </w:p>
        </w:tc>
        <w:tc>
          <w:tcPr>
            <w:tcW w:type="dxa" w:w="8424"/>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パブリックコメントの実施結果。第9期は本編に置いていない</w:t>
            </w:r>
          </w:p>
        </w:tc>
      </w:tr>
      <w:tr>
        <w:tc>
          <w:tcPr>
            <w:tcW w:type="dxa" w:w="936"/>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資7</w:t>
            </w:r>
          </w:p>
        </w:tc>
        <w:tc>
          <w:tcPr>
            <w:tcW w:type="dxa" w:w="8424"/>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主な参照資料。各表・各図の出典は本文のそれぞれの箇所にある（削減案N）</w:t>
            </w:r>
          </w:p>
        </w:tc>
      </w:tr>
      <w:tr>
        <w:tc>
          <w:tcPr>
            <w:tcW w:type="dxa" w:w="936"/>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資8</w:t>
            </w:r>
          </w:p>
        </w:tc>
        <w:tc>
          <w:tcPr>
            <w:tcW w:type="dxa" w:w="8424"/>
            <w:shd w:fill="FFFFFF" w:val="clear"/>
            <w:tcMar>
              <w:top w:type="dxa" w:w="55"/>
              <w:left w:type="dxa" w:w="80"/>
              <w:bottom w:type="dxa" w:w="55"/>
              <w:right w:type="dxa" w:w="80"/>
            </w:tcMar>
          </w:tcPr>
          <w:p>
            <w:pPr>
              <w:spacing w:after="0" w:line="235" w:lineRule="exact"/>
            </w:pPr>
            <w:r>
              <w:rPr>
                <w:rFonts w:ascii="游ゴシック" w:cs="游ゴシック" w:eastAsia="游ゴシック" w:hAnsi="游ゴシック"/>
                <w:b w:val="false"/>
                <w:bCs w:val="false"/>
                <w:color w:val="000000"/>
                <w:sz w:val="16"/>
                <w:szCs w:val="16"/>
              </w:rPr>
              <w:t xml:space="preserve">図表番号一覧。図表データ管理台帳と重複する（削減案M）</w:t>
            </w:r>
          </w:p>
        </w:tc>
      </w:tr>
    </w:tbl>
    <w:p>
      <w:r>
        <w:br w:type="page"/>
      </w:r>
    </w:p>
    <w:p>
      <w:pPr>
        <w:keepNext/>
        <w:spacing w:after="150" w:before="280" w:line="320" w:lineRule="exact"/>
      </w:pPr>
      <w:r>
        <w:rPr>
          <w:rFonts w:ascii="游ゴシック" w:cs="游ゴシック" w:eastAsia="游ゴシック" w:hAnsi="游ゴシック"/>
          <w:b/>
          <w:bCs/>
          <w:color w:val="1F3864"/>
          <w:sz w:val="26"/>
          <w:szCs w:val="26"/>
        </w:rPr>
        <w:t xml:space="preserve">5　ご確認いただきたいこと</w:t>
      </w:r>
    </w:p>
    <w:p>
      <w:pPr>
        <w:keepNext/>
        <w:spacing w:after="50" w:before="170" w:line="280" w:lineRule="exact"/>
      </w:pPr>
      <w:r>
        <w:rPr>
          <w:rFonts w:ascii="游ゴシック" w:cs="游ゴシック" w:eastAsia="游ゴシック" w:hAnsi="游ゴシック"/>
          <w:b/>
          <w:bCs/>
          <w:color w:val="2E75B6"/>
          <w:sz w:val="21"/>
          <w:szCs w:val="21"/>
        </w:rPr>
        <w:t xml:space="preserve">(1)　第9期の39項目への当て方でよいか</w:t>
      </w:r>
    </w:p>
    <w:p>
      <w:pPr>
        <w:spacing w:after="60" w:line="300" w:lineRule="exact"/>
      </w:pPr>
      <w:r>
        <w:rPr>
          <w:rFonts w:ascii="游明朝" w:cs="游明朝" w:eastAsia="游明朝" w:hAnsi="游明朝"/>
          <w:sz w:val="21"/>
          <w:szCs w:val="21"/>
        </w:rPr>
        <w:t xml:space="preserve">2の表のとおりです。1つの項目に複数の節を当てている箇所（たとえば第4章4-1に施策4-1・4-2・4-3・4-5を当てる）が、第9期の記述の範囲に収まるかをご覧ください。</w:t>
      </w:r>
    </w:p>
    <w:p>
      <w:pPr>
        <w:keepNext/>
        <w:spacing w:after="50" w:before="170" w:line="280" w:lineRule="exact"/>
      </w:pPr>
      <w:r>
        <w:rPr>
          <w:rFonts w:ascii="游ゴシック" w:cs="游ゴシック" w:eastAsia="游ゴシック" w:hAnsi="游ゴシック"/>
          <w:b/>
          <w:bCs/>
          <w:color w:val="2E75B6"/>
          <w:sz w:val="21"/>
          <w:szCs w:val="21"/>
        </w:rPr>
        <w:t xml:space="preserve">(2)　新たに加える6項目はこれで足りるか</w:t>
      </w:r>
    </w:p>
    <w:p>
      <w:pPr>
        <w:spacing w:after="60" w:line="300" w:lineRule="exact"/>
      </w:pPr>
      <w:r>
        <w:rPr>
          <w:rFonts w:ascii="游明朝" w:cs="游明朝" w:eastAsia="游明朝" w:hAnsi="游明朝"/>
          <w:sz w:val="21"/>
          <w:szCs w:val="21"/>
        </w:rPr>
        <w:t xml:space="preserve">3のとおり、法令または基本指針が求めるものに限っています。ほかに指針・通達で加えるべきものがあればご指示ください。</w:t>
      </w:r>
    </w:p>
    <w:p>
      <w:pPr>
        <w:keepNext/>
        <w:spacing w:after="50" w:before="170" w:line="280" w:lineRule="exact"/>
      </w:pPr>
      <w:r>
        <w:rPr>
          <w:rFonts w:ascii="游ゴシック" w:cs="游ゴシック" w:eastAsia="游ゴシック" w:hAnsi="游ゴシック"/>
          <w:b/>
          <w:bCs/>
          <w:color w:val="2E75B6"/>
          <w:sz w:val="21"/>
          <w:szCs w:val="21"/>
        </w:rPr>
        <w:t xml:space="preserve">(3)　協議用にのみ置く12節の扱いでよいか</w:t>
      </w:r>
    </w:p>
    <w:p>
      <w:pPr>
        <w:spacing w:after="60" w:line="300" w:lineRule="exact"/>
      </w:pPr>
      <w:r>
        <w:rPr>
          <w:rFonts w:ascii="游明朝" w:cs="游明朝" w:eastAsia="游明朝" w:hAnsi="游明朝"/>
          <w:sz w:val="21"/>
          <w:szCs w:val="21"/>
        </w:rPr>
        <w:t xml:space="preserve">4のとおりです。公表用に残すものがあればご指示ください。</w:t>
      </w:r>
    </w:p>
    <w:p>
      <w:pPr>
        <w:keepNext/>
        <w:spacing w:after="50" w:before="170" w:line="280" w:lineRule="exact"/>
      </w:pPr>
      <w:r>
        <w:rPr>
          <w:rFonts w:ascii="游ゴシック" w:cs="游ゴシック" w:eastAsia="游ゴシック" w:hAnsi="游ゴシック"/>
          <w:b/>
          <w:bCs/>
          <w:color w:val="2E75B6"/>
          <w:sz w:val="21"/>
          <w:szCs w:val="21"/>
        </w:rPr>
        <w:t xml:space="preserve">(4)　第4章の施策を24から15に束ねてよいか</w:t>
      </w:r>
    </w:p>
    <w:p>
      <w:pPr>
        <w:spacing w:after="60" w:line="300" w:lineRule="exact"/>
      </w:pPr>
      <w:r>
        <w:rPr>
          <w:rFonts w:ascii="游明朝" w:cs="游明朝" w:eastAsia="游明朝" w:hAnsi="游明朝"/>
          <w:sz w:val="21"/>
          <w:szCs w:val="21"/>
        </w:rPr>
        <w:t xml:space="preserve">協議用素案は24の施策を置いています。第9期は14施策です。これに指針による「介護人材の確保と生産性向上」を加えた15に束ねる案です。束ね方が変わると本文と相互参照の付け替えをやり直すことになるため、この点のご判断を先にいただきたくお願いします。</w:t>
      </w:r>
    </w:p>
    <w:p>
      <w:pPr>
        <w:spacing w:after="100" w:line="300" w:lineRule="exact"/>
      </w:pPr>
      <w:r>
        <w:rPr>
          <w:rFonts w:ascii="游明朝" w:cs="游明朝" w:eastAsia="游明朝" w:hAnsi="游明朝"/>
          <w:sz w:val="21"/>
          <w:szCs w:val="21"/>
        </w:rPr>
        <w:t xml:space="preserve"/>
      </w:r>
    </w:p>
    <w:p>
      <w:pPr>
        <w:spacing w:after="110" w:line="275" w:lineRule="exact"/>
      </w:pPr>
      <w:r>
        <w:rPr>
          <w:rFonts w:ascii="游ゴシック" w:cs="游ゴシック" w:eastAsia="游ゴシック" w:hAnsi="游ゴシック"/>
          <w:color w:val="595959"/>
          <w:sz w:val="19"/>
          <w:szCs w:val="19"/>
        </w:rPr>
        <w:t xml:space="preserve">※ ご確認をいただくまで公表用の組み立てには着手しません。協議用素案はいまのままお示しできますので、第2回策定委員会の日程には影響しません。</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2026-10-23T05:02:23.146Z</dcterms:created>
  <dcterms:modified xsi:type="dcterms:W3CDTF">2026-10-23T05:02:23.146Z</dcterms:modified>
</cp:coreProperties>
</file>

<file path=docProps/custom.xml><?xml version="1.0" encoding="utf-8"?>
<Properties xmlns="http://schemas.openxmlformats.org/officeDocument/2006/custom-properties" xmlns:vt="http://schemas.openxmlformats.org/officeDocument/2006/docPropsVTypes"/>
</file>