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受託者が現時点までに終えている業務は、次の4件です。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決定1（人口推計の基礎）及び決定2（認定率のシナリオ）のご決定、資料No.9（決算書・基金の積立取崩実績）の受領、国の政令改正の告示</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あわせて、次の資料のご提供をお願い申し上げます。令和8年8月25日の進捗確認の打合せでご了承いただいたものです。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ご提供をお願いする資料（令和8年8月25日の打合せによる）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表7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表8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表9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628"/>
            <w:vAlign w:val="center"/>
            <w:shd w:val="clear" w:color="auto" w:fill="F2F5FA"/>
          </w:tcPr>
          <w:p>
            <w:pPr>
              <w:spacing w:after="0"/>
            </w:pPr>
            <w:r>
              <w:rPr>
                <w:rFonts w:ascii="游ゴシック" w:hAnsi="游ゴシック" w:eastAsia="游ゴシック"/>
                <w:b w:val="0"/>
                <w:sz w:val="19"/>
              </w:rPr>
              <w:t>第9期の通年の確定値と令和8年度の推移。第3段階の給付費の算定、代表KPI H15の把握</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令和8年8月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給付実績データ（サービス別の利用者数・利用日数等。令和5〜7年度）</w:t>
            </w:r>
          </w:p>
        </w:tc>
        <w:tc>
          <w:tcPr>
            <w:tcW w:type="dxa" w:w="3628"/>
            <w:vAlign w:val="center"/>
          </w:tcPr>
          <w:p>
            <w:pPr>
              <w:spacing w:after="0"/>
            </w:pPr>
            <w:r>
              <w:rPr>
                <w:rFonts w:ascii="游ゴシック" w:hAnsi="游ゴシック" w:eastAsia="游ゴシック"/>
                <w:b w:val="0"/>
                <w:sz w:val="19"/>
              </w:rPr>
              <w:t>サービス見込量の推定の基礎（月当たりの平均利用者数、1人当たりの利用日数・回数）</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令和8年8月31日</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表10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表11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表12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表13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