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国の推計ワークシートの前提と、第11期への跳ね返り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872"/>
        <w:gridCol w:w="2340"/>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第10期の基準月額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第11期の基準月額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国の推計ワークシートどおり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取崩しなし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【要算定】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の推計ワークシートは、残高42,128,183円のうち40,000,000円（94.9%）を取り崩す前提で第10期を5,513.72円としています。第10期で基金をほぼ使い切るため、第11期には取崩しの余地が残らず、第11期は7,301.29円（＋32.4%）に跳ね上がります。第10期を下げるほど第11期の上がり幅が大きくなる関係であり、取崩額をいくらにするかは世代間の負担の公平に関わるご判断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取崩額を24,000千円・取崩しなしとした場合の第11期の基準月額は、国の推計ワークシートを村にご操作いただくか、当方が5式により試算して併記する。上の12のパターンと3案は、当方がワークシートの提供を受ける前に算定したもの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2026-10-08T04:15:26.507Z</dcterms:created>
  <dcterms:modified xsi:type="dcterms:W3CDTF">2026-10-08T04:15:26.508Z</dcterms:modified>
</cp:coreProperties>
</file>

<file path=docProps/custom.xml><?xml version="1.0" encoding="utf-8"?>
<Properties xmlns="http://schemas.openxmlformats.org/officeDocument/2006/custom-properties" xmlns:vt="http://schemas.openxmlformats.org/officeDocument/2006/docPropsVTypes"/>
</file>