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明朝" w:cs="游明朝" w:eastAsia="游明朝" w:hAnsi="游明朝"/>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明朝" w:cs="游明朝" w:eastAsia="游明朝" w:hAnsi="游明朝"/>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明朝" w:cs="游明朝" w:eastAsia="游明朝" w:hAnsi="游明朝"/>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計画策定の趣旨</w:t>
      </w:r>
    </w:p>
    <w:p>
      <w:pPr>
        <w:spacing w:after="120" w:line="300"/>
      </w:pPr>
      <w:r>
        <w:rPr>
          <w:rFonts w:ascii="游明朝" w:cs="游明朝" w:eastAsia="游明朝" w:hAnsi="游明朝"/>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明朝" w:cs="游明朝" w:eastAsia="游明朝" w:hAnsi="游明朝"/>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明朝" w:cs="游明朝" w:eastAsia="游明朝" w:hAnsi="游明朝"/>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明朝" w:cs="游明朝" w:eastAsia="游明朝" w:hAnsi="游明朝"/>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明朝" w:cs="游明朝" w:eastAsia="游明朝" w:hAnsi="游明朝"/>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計画の法的根拠</w:t>
      </w:r>
    </w:p>
    <w:p>
      <w:pPr>
        <w:spacing w:after="120" w:line="300"/>
      </w:pPr>
      <w:r>
        <w:rPr>
          <w:rFonts w:ascii="游明朝" w:cs="游明朝" w:eastAsia="游明朝" w:hAnsi="游明朝"/>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306"/>
        <w:gridCol w:w="1872"/>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明朝" w:cs="游明朝" w:eastAsia="游明朝" w:hAnsi="游明朝"/>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明朝" w:cs="游明朝" w:eastAsia="游明朝" w:hAnsi="游明朝"/>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計画の期間</w:t>
      </w:r>
    </w:p>
    <w:p>
      <w:pPr>
        <w:spacing w:after="120" w:line="300"/>
      </w:pPr>
      <w:r>
        <w:rPr>
          <w:rFonts w:ascii="游明朝" w:cs="游明朝" w:eastAsia="游明朝" w:hAnsi="游明朝"/>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計画の位置づけ</w:t>
      </w:r>
    </w:p>
    <w:p>
      <w:pPr>
        <w:spacing w:after="120" w:line="300"/>
      </w:pPr>
      <w:r>
        <w:rPr>
          <w:rFonts w:ascii="游明朝" w:cs="游明朝" w:eastAsia="游明朝" w:hAnsi="游明朝"/>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明朝" w:cs="游明朝" w:eastAsia="游明朝" w:hAnsi="游明朝"/>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日常生活圏域の設定</w:t>
      </w:r>
    </w:p>
    <w:p>
      <w:pPr>
        <w:spacing w:after="120" w:line="300"/>
      </w:pPr>
      <w:r>
        <w:rPr>
          <w:rFonts w:ascii="游明朝" w:cs="游明朝" w:eastAsia="游明朝" w:hAnsi="游明朝"/>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明朝" w:cs="游明朝" w:eastAsia="游明朝" w:hAnsi="游明朝"/>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明朝" w:cs="游明朝" w:eastAsia="游明朝" w:hAnsi="游明朝"/>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計画の策定体制と策定経過</w:t>
      </w:r>
    </w:p>
    <w:p>
      <w:pPr>
        <w:spacing w:after="120" w:line="300"/>
      </w:pPr>
      <w:r>
        <w:rPr>
          <w:rFonts w:ascii="游明朝" w:cs="游明朝" w:eastAsia="游明朝" w:hAnsi="游明朝"/>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編集注記：策定委員会の開催実績・委員名簿・パブリックコメントの実施結果は、資料編（資1・資2・資4）に掲載します。日付と委員名簿は確定後に記入します。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1-7　SDGsとの関係</w:t>
      </w:r>
    </w:p>
    <w:p>
      <w:pPr>
        <w:spacing w:after="120" w:line="300"/>
      </w:pPr>
      <w:r>
        <w:rPr>
          <w:rFonts w:ascii="游明朝" w:cs="游明朝" w:eastAsia="游明朝" w:hAnsi="游明朝"/>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明朝" w:cs="游明朝" w:eastAsia="游明朝" w:hAnsi="游明朝"/>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1-8　介護保険制度改正の主な内容</w:t>
      </w:r>
    </w:p>
    <w:p>
      <w:pPr>
        <w:spacing w:after="120" w:line="300"/>
      </w:pPr>
      <w:r>
        <w:rPr>
          <w:rFonts w:ascii="游明朝" w:cs="游明朝" w:eastAsia="游明朝" w:hAnsi="游明朝"/>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本村は該当する見込みです（本節2）。施策3-1から3-4および5-4の見込量に関わります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5-11に令和17年度・令和22年度の見込量・給付費・保険料の見通しを加えます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制度の周知に反映します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編集注記：政令・省令および介護報酬改定の内容が示された時点で、本節および関係する節を再照合します。第10期の国の基本指針は本稿の時点で告示前です。</w:t>
      </w:r>
    </w:p>
    <w:p>
      <w:pPr>
        <w:spacing w:after="100" w:line="300"/>
      </w:pPr>
      <w:r>
        <w:rPr>
          <w:rFonts w:ascii="游ゴシック" w:cs="游ゴシック" w:eastAsia="游ゴシック" w:hAnsi="游ゴシック"/>
          <w:b/>
          <w:bCs/>
          <w:color w:val="2E75B6"/>
          <w:sz w:val="21"/>
          <w:szCs w:val="21"/>
        </w:rPr>
        <w:t xml:space="preserve">2　中山間・人口減少地域（特定地域）への該当</w:t>
      </w:r>
    </w:p>
    <w:p>
      <w:pPr>
        <w:spacing w:after="120" w:line="300"/>
      </w:pPr>
      <w:r>
        <w:rPr>
          <w:rFonts w:ascii="游明朝" w:cs="游明朝" w:eastAsia="游明朝" w:hAnsi="游明朝"/>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明朝" w:cs="游明朝" w:eastAsia="游明朝" w:hAnsi="游明朝"/>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5"/>
          <w:szCs w:val="15"/>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明朝" w:cs="游明朝" w:eastAsia="游明朝" w:hAnsi="游明朝"/>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明朝" w:cs="游明朝" w:eastAsia="游明朝" w:hAnsi="游明朝"/>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spacing w:after="100" w:line="300"/>
      </w:pPr>
      <w:r>
        <w:rPr>
          <w:rFonts w:ascii="游ゴシック" w:cs="游ゴシック" w:eastAsia="游ゴシック" w:hAnsi="游ゴシック"/>
          <w:b/>
          <w:bCs/>
          <w:color w:val="2E75B6"/>
          <w:sz w:val="21"/>
          <w:szCs w:val="21"/>
        </w:rPr>
        <w:t xml:space="preserve">第1号被保険者数の推計</w:t>
      </w:r>
    </w:p>
    <w:p>
      <w:pPr>
        <w:spacing w:after="120" w:line="300"/>
      </w:pPr>
      <w:r>
        <w:rPr>
          <w:rFonts w:ascii="游明朝" w:cs="游明朝" w:eastAsia="游明朝" w:hAnsi="游明朝"/>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出典：厚生労働省配布「第10期将来推計用推計人口」を基礎に作成　単位：人</w:t>
      </w:r>
    </w:p>
    <w:p>
      <w:pPr>
        <w:spacing w:after="120" w:line="300"/>
      </w:pPr>
      <w:r>
        <w:rPr>
          <w:rFonts w:ascii="游明朝" w:cs="游明朝" w:eastAsia="游明朝" w:hAnsi="游明朝"/>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配布データの推計値をそのまま用いると、令和8年の第1号被保険者数は954人となり、実績の1,012人を58人（5.7%）下回ります。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1"/>
          <w:szCs w:val="21"/>
        </w:rPr>
        <w:t xml:space="preserve">要介護度別の状況</w:t>
      </w:r>
    </w:p>
    <w:p>
      <w:pPr>
        <w:spacing w:after="120" w:line="300"/>
      </w:pPr>
      <w:r>
        <w:rPr>
          <w:rFonts w:ascii="游明朝" w:cs="游明朝" w:eastAsia="游明朝" w:hAnsi="游明朝"/>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1"/>
          <w:szCs w:val="21"/>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後期高齢者の認定率は前期高齢者の5.4倍です。2-2で述べたとおり後期高齢者の割合が高まるため、第1号被保険者数が減少しても、認定者数は増加していく見通しです。</w:t>
      </w:r>
    </w:p>
    <w:p>
      <w:pPr>
        <w:spacing w:after="100" w:line="300"/>
      </w:pPr>
      <w:r>
        <w:rPr>
          <w:rFonts w:ascii="游ゴシック" w:cs="游ゴシック" w:eastAsia="游ゴシック" w:hAnsi="游ゴシック"/>
          <w:b/>
          <w:bCs/>
          <w:color w:val="2E75B6"/>
          <w:sz w:val="21"/>
          <w:szCs w:val="21"/>
        </w:rPr>
        <w:t xml:space="preserve">認知症高齢者の状況</w:t>
      </w:r>
    </w:p>
    <w:p>
      <w:pPr>
        <w:spacing w:after="120" w:line="300"/>
      </w:pPr>
      <w:r>
        <w:rPr>
          <w:rFonts w:ascii="游明朝" w:cs="游明朝" w:eastAsia="游明朝" w:hAnsi="游明朝"/>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1591"/>
        <w:gridCol w:w="1591"/>
        <w:gridCol w:w="1591"/>
        <w:gridCol w:w="1498"/>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明朝" w:cs="游明朝" w:eastAsia="游明朝" w:hAnsi="游明朝"/>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813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サービス区分別 1人1月あたり給付月額の変化（平成29年度→令和7年度）</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1"/>
          <w:szCs w:val="21"/>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1"/>
          <w:szCs w:val="21"/>
        </w:rPr>
        <w:t xml:space="preserve">★サービス区分別に見た変化</w:t>
      </w:r>
    </w:p>
    <w:p>
      <w:pPr>
        <w:spacing w:after="120" w:line="300"/>
      </w:pPr>
      <w:r>
        <w:rPr>
          <w:rFonts w:ascii="游明朝" w:cs="游明朝" w:eastAsia="游明朝" w:hAnsi="游明朝"/>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全体では2.1%の減少にとどまりますが、区分ごとの動きは大きく異なります。</w:t>
      </w:r>
    </w:p>
    <w:p>
      <w:pPr>
        <w:spacing w:after="120" w:line="300"/>
      </w:pPr>
      <w:r>
        <w:rPr>
          <w:rFonts w:ascii="游明朝" w:cs="游明朝" w:eastAsia="游明朝" w:hAnsi="游明朝"/>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明朝" w:cs="游明朝" w:eastAsia="游明朝" w:hAnsi="游明朝"/>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明朝" w:cs="游明朝" w:eastAsia="游明朝" w:hAnsi="游明朝"/>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要支援・要介護者1人あたり定員の推移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1"/>
          <w:szCs w:val="21"/>
        </w:rPr>
        <w:t xml:space="preserve">村外サービスの利用状況</w:t>
      </w:r>
    </w:p>
    <w:p>
      <w:pPr>
        <w:spacing w:after="120" w:line="300"/>
      </w:pPr>
      <w:r>
        <w:rPr>
          <w:rFonts w:ascii="游明朝" w:cs="游明朝" w:eastAsia="游明朝" w:hAnsi="游明朝"/>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498"/>
        <w:gridCol w:w="1498"/>
        <w:gridCol w:w="1498"/>
        <w:gridCol w:w="1498"/>
        <w:gridCol w:w="130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明朝" w:cs="游明朝" w:eastAsia="游明朝" w:hAnsi="游明朝"/>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25.0人／月で村内定員27人の92.6%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明朝" w:cs="游明朝" w:eastAsia="游明朝" w:hAnsi="游明朝"/>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地域支援事業費の推移（内訳別）</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575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図2-20　住民主体の通いの場の状況（令和6年度）</w:t>
      </w:r>
    </w:p>
    <w:p>
      <w:pPr>
        <w:spacing w:after="200"/>
        <w:jc w:val="center"/>
      </w:pPr>
      <w:r>
        <w:rPr>
          <w:rFonts w:ascii="游ゴシック" w:cs="游ゴシック" w:eastAsia="游ゴシック" w:hAnsi="游ゴシック"/>
          <w:color w:val="595959"/>
          <w:sz w:val="15"/>
          <w:szCs w:val="15"/>
        </w:rPr>
        <w:t xml:space="preserve">出典：厚生労働省「介護予防・日常生活支援総合事業（地域支援事業）の実施状況に関する調査」</w:t>
      </w:r>
    </w:p>
    <w:p>
      <w:pPr>
        <w:spacing w:after="120" w:line="300"/>
      </w:pPr>
      <w:r>
        <w:rPr>
          <w:rFonts w:ascii="游明朝" w:cs="游明朝" w:eastAsia="游明朝" w:hAnsi="游明朝"/>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明朝" w:cs="游明朝" w:eastAsia="游明朝" w:hAnsi="游明朝"/>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※平成29年度の合計にはその他の事業費を含みます。</w:t>
      </w:r>
    </w:p>
    <w:p>
      <w:pPr>
        <w:spacing w:after="120" w:line="300"/>
      </w:pPr>
      <w:r>
        <w:rPr>
          <w:rFonts w:ascii="游明朝" w:cs="游明朝" w:eastAsia="游明朝" w:hAnsi="游明朝"/>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明朝" w:cs="游明朝" w:eastAsia="游明朝" w:hAnsi="游明朝"/>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明朝" w:cs="游明朝" w:eastAsia="游明朝" w:hAnsi="游明朝"/>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明朝" w:cs="游明朝" w:eastAsia="游明朝" w:hAnsi="游明朝"/>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spacing w:after="100" w:line="300"/>
      </w:pPr>
      <w:r>
        <w:rPr>
          <w:rFonts w:ascii="游ゴシック" w:cs="游ゴシック" w:eastAsia="游ゴシック" w:hAnsi="游ゴシック"/>
          <w:b/>
          <w:bCs/>
          <w:color w:val="2E75B6"/>
          <w:sz w:val="21"/>
          <w:szCs w:val="21"/>
        </w:rPr>
        <w:t xml:space="preserve">地域包括支援センター</w:t>
      </w:r>
    </w:p>
    <w:p>
      <w:pPr>
        <w:spacing w:after="120" w:line="300"/>
      </w:pPr>
      <w:r>
        <w:rPr>
          <w:rFonts w:ascii="游明朝" w:cs="游明朝" w:eastAsia="游明朝" w:hAnsi="游明朝"/>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明朝" w:cs="游明朝" w:eastAsia="游明朝" w:hAnsi="游明朝"/>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保険給付費・地域支援事業費・保険料収入の推移</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介護保険料基準額の推移（村・福島県・全国）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保険料基準額と必要保険料額の対比</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1"/>
          <w:szCs w:val="21"/>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交付金 目標別得点と全国平均の対比（令和8年度）</w:t>
      </w:r>
    </w:p>
    <w:p>
      <w:pPr>
        <w:spacing w:after="200"/>
        <w:jc w:val="center"/>
      </w:pPr>
      <w:r>
        <w:rPr>
          <w:rFonts w:ascii="游ゴシック" w:cs="游ゴシック" w:eastAsia="游ゴシック" w:hAnsi="游ゴシック"/>
          <w:color w:val="595959"/>
          <w:sz w:val="15"/>
          <w:szCs w:val="15"/>
        </w:rPr>
        <w:t xml:space="preserve">出典：厚生労働省「令和8年度評価指標に係る該当状況調査票集計表」</w:t>
      </w:r>
    </w:p>
    <w:p>
      <w:pPr>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1527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図2-19　交付金 合計得点の推移（村・福島県平均・全国平均）</w:t>
      </w:r>
    </w:p>
    <w:p>
      <w:pPr>
        <w:spacing w:after="200"/>
        <w:jc w:val="center"/>
      </w:pPr>
      <w:r>
        <w:rPr>
          <w:rFonts w:ascii="游ゴシック" w:cs="游ゴシック" w:eastAsia="游ゴシック" w:hAnsi="游ゴシック"/>
          <w:color w:val="595959"/>
          <w:sz w:val="15"/>
          <w:szCs w:val="15"/>
        </w:rPr>
        <w:t xml:space="preserve">出典：厚生労働省「評価指標に係る該当状況調査票集計表」（令和6〜8年度）</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明朝" w:cs="游明朝" w:eastAsia="游明朝" w:hAnsi="游明朝"/>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spacing w:after="100" w:line="300"/>
      </w:pPr>
      <w:r>
        <w:rPr>
          <w:rFonts w:ascii="游ゴシック" w:cs="游ゴシック" w:eastAsia="游ゴシック" w:hAnsi="游ゴシック"/>
          <w:b/>
          <w:bCs/>
          <w:color w:val="2E75B6"/>
          <w:sz w:val="21"/>
          <w:szCs w:val="21"/>
        </w:rPr>
        <w:t xml:space="preserve">得点が伸びた項目</w:t>
      </w:r>
    </w:p>
    <w:p>
      <w:pPr>
        <w:spacing w:after="120" w:line="300"/>
      </w:pPr>
      <w:r>
        <w:rPr>
          <w:rFonts w:ascii="游明朝" w:cs="游明朝" w:eastAsia="游明朝" w:hAnsi="游明朝"/>
          <w:sz w:val="21"/>
          <w:szCs w:val="21"/>
        </w:rPr>
        <w:t xml:space="preserve">3年間で152点増えた内訳を見ると、伸びは特定の領域に集中しています。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明朝" w:cs="游明朝" w:eastAsia="游明朝" w:hAnsi="游明朝"/>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spacing w:after="100" w:line="300"/>
      </w:pPr>
      <w:r>
        <w:rPr>
          <w:rFonts w:ascii="游ゴシック" w:cs="游ゴシック" w:eastAsia="游ゴシック" w:hAnsi="游ゴシック"/>
          <w:b/>
          <w:bCs/>
          <w:color w:val="2E75B6"/>
          <w:sz w:val="21"/>
          <w:szCs w:val="21"/>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00" w:line="300"/>
      </w:pPr>
      <w:r>
        <w:rPr>
          <w:rFonts w:ascii="游ゴシック" w:cs="游ゴシック" w:eastAsia="游ゴシック" w:hAnsi="游ゴシック"/>
          <w:b/>
          <w:bCs/>
          <w:color w:val="2E75B6"/>
          <w:sz w:val="21"/>
          <w:szCs w:val="21"/>
        </w:rPr>
        <w:t xml:space="preserve">目標別に全国平均と比べると</w:t>
      </w:r>
    </w:p>
    <w:p>
      <w:pPr>
        <w:spacing w:after="120" w:line="300"/>
      </w:pPr>
      <w:r>
        <w:rPr>
          <w:rFonts w:ascii="游明朝" w:cs="游明朝" w:eastAsia="游明朝" w:hAnsi="游明朝"/>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030"/>
        <w:gridCol w:w="1030"/>
        <w:gridCol w:w="1030"/>
        <w:gridCol w:w="1028"/>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県平均・県内順位は福島県内59市町村、全国順位は全国1,741市町村の中での位置です。各目標の配点はいずれも100点です。</w:t>
      </w:r>
    </w:p>
    <w:p>
      <w:pPr>
        <w:spacing w:after="120" w:line="300"/>
      </w:pPr>
      <w:r>
        <w:rPr>
          <w:rFonts w:ascii="游明朝" w:cs="游明朝" w:eastAsia="游明朝" w:hAnsi="游明朝"/>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明朝" w:cs="游明朝" w:eastAsia="游明朝" w:hAnsi="游明朝"/>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00" w:line="300"/>
      </w:pPr>
      <w:r>
        <w:rPr>
          <w:rFonts w:ascii="游ゴシック" w:cs="游ゴシック" w:eastAsia="游ゴシック" w:hAnsi="游ゴシック"/>
          <w:b/>
          <w:bCs/>
          <w:color w:val="2E75B6"/>
          <w:sz w:val="21"/>
          <w:szCs w:val="21"/>
        </w:rPr>
        <w:t xml:space="preserve">福島県の評価と重ねると</w:t>
      </w:r>
    </w:p>
    <w:p>
      <w:pPr>
        <w:spacing w:after="120" w:line="300"/>
      </w:pPr>
      <w:r>
        <w:rPr>
          <w:rFonts w:ascii="游明朝" w:cs="游明朝" w:eastAsia="游明朝" w:hAnsi="游明朝"/>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262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spacing w:after="100" w:line="300"/>
      </w:pPr>
      <w:r>
        <w:rPr>
          <w:rFonts w:ascii="游ゴシック" w:cs="游ゴシック" w:eastAsia="游ゴシック" w:hAnsi="游ゴシック"/>
          <w:b/>
          <w:bCs/>
          <w:color w:val="2E75B6"/>
          <w:sz w:val="21"/>
          <w:szCs w:val="21"/>
        </w:rPr>
        <w:t xml:space="preserve">残された課題は2点です</w:t>
      </w:r>
    </w:p>
    <w:p>
      <w:pPr>
        <w:spacing w:after="120" w:line="300"/>
      </w:pPr>
      <w:r>
        <w:rPr>
          <w:rFonts w:ascii="游明朝" w:cs="游明朝" w:eastAsia="游明朝" w:hAnsi="游明朝"/>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成果指標（アウトカム）の状況</w:t>
      </w:r>
    </w:p>
    <w:p>
      <w:pPr>
        <w:spacing w:after="120" w:line="300"/>
      </w:pPr>
      <w:r>
        <w:rPr>
          <w:rFonts w:ascii="游明朝" w:cs="游明朝" w:eastAsia="游明朝" w:hAnsi="游明朝"/>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842"/>
        <w:gridCol w:w="1310"/>
        <w:gridCol w:w="1310"/>
        <w:gridCol w:w="1310"/>
        <w:gridCol w:w="1218"/>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明朝" w:cs="游明朝" w:eastAsia="游明朝" w:hAnsi="游明朝"/>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2-9　第9期計画の進捗と評価</w:t>
      </w:r>
    </w:p>
    <w:p>
      <w:pPr>
        <w:spacing w:after="120" w:line="300"/>
      </w:pPr>
      <w:r>
        <w:rPr>
          <w:rFonts w:ascii="游明朝" w:cs="游明朝" w:eastAsia="游明朝" w:hAnsi="游明朝"/>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1"/>
          <w:szCs w:val="21"/>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spacing w:after="100" w:line="300"/>
      </w:pPr>
      <w:r>
        <w:rPr>
          <w:rFonts w:ascii="游ゴシック" w:cs="游ゴシック" w:eastAsia="游ゴシック" w:hAnsi="游ゴシック"/>
          <w:b/>
          <w:bCs/>
          <w:color w:val="2E75B6"/>
          <w:sz w:val="21"/>
          <w:szCs w:val="21"/>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1"/>
          <w:szCs w:val="21"/>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1"/>
          <w:szCs w:val="21"/>
        </w:rPr>
        <w:t xml:space="preserve">検証から得られた課題</w:t>
      </w:r>
    </w:p>
    <w:p>
      <w:pPr>
        <w:spacing w:after="120" w:line="300"/>
      </w:pPr>
      <w:r>
        <w:rPr>
          <w:rFonts w:ascii="游明朝" w:cs="游明朝" w:eastAsia="游明朝" w:hAnsi="游明朝"/>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1"/>
          <w:szCs w:val="21"/>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2-11　本村の課題</w:t>
      </w:r>
    </w:p>
    <w:p>
      <w:pPr>
        <w:spacing w:after="120" w:line="300"/>
      </w:pPr>
      <w:r>
        <w:rPr>
          <w:rFonts w:ascii="游明朝" w:cs="游明朝" w:eastAsia="游明朝" w:hAnsi="游明朝"/>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1"/>
          <w:szCs w:val="21"/>
        </w:rPr>
        <w:t xml:space="preserve">課題1　認定を受けても、利用できるサービスが限られています</w:t>
      </w:r>
    </w:p>
    <w:p>
      <w:pPr>
        <w:spacing w:after="120" w:line="300"/>
      </w:pPr>
      <w:r>
        <w:rPr>
          <w:rFonts w:ascii="游明朝" w:cs="游明朝" w:eastAsia="游明朝" w:hAnsi="游明朝"/>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明朝" w:cs="游明朝" w:eastAsia="游明朝" w:hAnsi="游明朝"/>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1"/>
          <w:szCs w:val="21"/>
        </w:rPr>
        <w:t xml:space="preserve">課題2　軽度の方が急増し、その受け皿が整っていません</w:t>
      </w:r>
    </w:p>
    <w:p>
      <w:pPr>
        <w:spacing w:after="120" w:line="300"/>
      </w:pPr>
      <w:r>
        <w:rPr>
          <w:rFonts w:ascii="游明朝" w:cs="游明朝" w:eastAsia="游明朝" w:hAnsi="游明朝"/>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spacing w:after="100" w:line="300"/>
      </w:pPr>
      <w:r>
        <w:rPr>
          <w:rFonts w:ascii="游ゴシック" w:cs="游ゴシック" w:eastAsia="游ゴシック" w:hAnsi="游ゴシック"/>
          <w:b/>
          <w:bCs/>
          <w:color w:val="2E75B6"/>
          <w:sz w:val="21"/>
          <w:szCs w:val="21"/>
        </w:rPr>
        <w:t xml:space="preserve">課題3　計画を評価し改善する仕組みを定着させる必要があります</w:t>
      </w:r>
    </w:p>
    <w:p>
      <w:pPr>
        <w:spacing w:after="120" w:line="300"/>
      </w:pPr>
      <w:r>
        <w:rPr>
          <w:rFonts w:ascii="游明朝" w:cs="游明朝" w:eastAsia="游明朝" w:hAnsi="游明朝"/>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明朝" w:cs="游明朝" w:eastAsia="游明朝" w:hAnsi="游明朝"/>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spacing w:after="100" w:line="300"/>
      </w:pPr>
      <w:r>
        <w:rPr>
          <w:rFonts w:ascii="游ゴシック" w:cs="游ゴシック" w:eastAsia="游ゴシック" w:hAnsi="游ゴシック"/>
          <w:b/>
          <w:bCs/>
          <w:color w:val="2E75B6"/>
          <w:sz w:val="21"/>
          <w:szCs w:val="21"/>
        </w:rPr>
        <w:t xml:space="preserve">課題4　保険料と給付水準の関係を説明する必要があります</w:t>
      </w:r>
    </w:p>
    <w:p>
      <w:pPr>
        <w:spacing w:after="120" w:line="300"/>
      </w:pPr>
      <w:r>
        <w:rPr>
          <w:rFonts w:ascii="游明朝" w:cs="游明朝" w:eastAsia="游明朝" w:hAnsi="游明朝"/>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1"/>
          <w:szCs w:val="21"/>
        </w:rPr>
        <w:t xml:space="preserve">課題5　人口構造の転換に備える必要があります</w:t>
      </w:r>
    </w:p>
    <w:p>
      <w:pPr>
        <w:spacing w:after="120" w:line="300"/>
      </w:pPr>
      <w:r>
        <w:rPr>
          <w:rFonts w:ascii="游明朝" w:cs="游明朝" w:eastAsia="游明朝" w:hAnsi="游明朝"/>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1"/>
          <w:szCs w:val="21"/>
        </w:rPr>
        <w:t xml:space="preserve">課題6　冬期の生活と移動を支える必要があります</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明朝" w:cs="游明朝" w:eastAsia="游明朝" w:hAnsi="游明朝"/>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基本理念</w:t>
      </w:r>
    </w:p>
    <w:p>
      <w:pPr>
        <w:spacing w:after="120" w:line="300"/>
      </w:pPr>
      <w:r>
        <w:rPr>
          <w:rFonts w:ascii="游明朝" w:cs="游明朝" w:eastAsia="游明朝" w:hAnsi="游明朝"/>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1"/>
          <w:szCs w:val="21"/>
        </w:rPr>
        <w:t xml:space="preserve">「結」のこころを持って支え合う地域共生社会</w:t>
      </w:r>
    </w:p>
    <w:p>
      <w:pPr>
        <w:spacing w:after="100" w:line="300"/>
      </w:pPr>
      <w:r>
        <w:rPr>
          <w:rFonts w:ascii="游ゴシック" w:cs="游ゴシック" w:eastAsia="游ゴシック" w:hAnsi="游ゴシック"/>
          <w:b/>
          <w:bCs/>
          <w:color w:val="2E75B6"/>
          <w:sz w:val="21"/>
          <w:szCs w:val="21"/>
        </w:rP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基本目標</w:t>
      </w:r>
    </w:p>
    <w:p>
      <w:pPr>
        <w:spacing w:after="120" w:line="300"/>
      </w:pPr>
      <w:r>
        <w:rPr>
          <w:rFonts w:ascii="游明朝" w:cs="游明朝" w:eastAsia="游明朝" w:hAnsi="游明朝"/>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第10期の重点</w:t>
      </w:r>
    </w:p>
    <w:p>
      <w:pPr>
        <w:spacing w:after="120" w:line="300"/>
      </w:pPr>
      <w:r>
        <w:rPr>
          <w:rFonts w:ascii="游明朝" w:cs="游明朝" w:eastAsia="游明朝" w:hAnsi="游明朝"/>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1"/>
          <w:szCs w:val="21"/>
        </w:rPr>
        <w:t xml:space="preserve">重点1　軽度の方の重度化を防ぎます</w:t>
      </w:r>
    </w:p>
    <w:p>
      <w:pPr>
        <w:spacing w:after="120" w:line="300"/>
      </w:pPr>
      <w:r>
        <w:rPr>
          <w:rFonts w:ascii="游明朝" w:cs="游明朝" w:eastAsia="游明朝" w:hAnsi="游明朝"/>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spacing w:after="100" w:line="300"/>
      </w:pPr>
      <w:r>
        <w:rPr>
          <w:rFonts w:ascii="游ゴシック" w:cs="游ゴシック" w:eastAsia="游ゴシック" w:hAnsi="游ゴシック"/>
          <w:b/>
          <w:bCs/>
          <w:color w:val="2E75B6"/>
          <w:sz w:val="21"/>
          <w:szCs w:val="21"/>
        </w:rPr>
        <w:t xml:space="preserve">重点2　後期高齢者の増加に備えます</w:t>
      </w:r>
    </w:p>
    <w:p>
      <w:pPr>
        <w:spacing w:after="120" w:line="300"/>
      </w:pPr>
      <w:r>
        <w:rPr>
          <w:rFonts w:ascii="游明朝" w:cs="游明朝" w:eastAsia="游明朝" w:hAnsi="游明朝"/>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1"/>
          <w:szCs w:val="21"/>
        </w:rPr>
        <w:t xml:space="preserve">重点3　冬期の生活と移動を支えます</w:t>
      </w:r>
    </w:p>
    <w:p>
      <w:pPr>
        <w:spacing w:after="120" w:line="300"/>
      </w:pPr>
      <w:r>
        <w:rPr>
          <w:rFonts w:ascii="游明朝" w:cs="游明朝" w:eastAsia="游明朝" w:hAnsi="游明朝"/>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1"/>
          <w:szCs w:val="21"/>
        </w:rPr>
        <w:t xml:space="preserve">重点4　計画を評価し改善する仕組みをつくります</w:t>
      </w:r>
    </w:p>
    <w:p>
      <w:pPr>
        <w:spacing w:after="120" w:line="300"/>
      </w:pPr>
      <w:r>
        <w:rPr>
          <w:rFonts w:ascii="游明朝" w:cs="游明朝" w:eastAsia="游明朝" w:hAnsi="游明朝"/>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施策の体系</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92964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5"/>
          <w:szCs w:val="15"/>
        </w:rPr>
        <w:t xml:space="preserve">出典：―</w:t>
      </w:r>
    </w:p>
    <w:p>
      <w:pPr>
        <w:spacing w:after="120" w:line="300"/>
      </w:pPr>
      <w:r>
        <w:rPr>
          <w:rFonts w:ascii="游明朝" w:cs="游明朝" w:eastAsia="游明朝" w:hAnsi="游明朝"/>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10施策あり、その過半は基本目標1（介護予防）と基本目標5（計画の推進と進捗管理）に置いています。</w:t>
      </w:r>
    </w:p>
    <w:p>
      <w:pPr>
        <w:spacing w:after="120" w:line="300"/>
      </w:pPr>
      <w:r>
        <w:rPr>
          <w:rFonts w:ascii="游明朝" w:cs="游明朝" w:eastAsia="游明朝" w:hAnsi="游明朝"/>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施策体系の対応表</w:t>
      </w:r>
    </w:p>
    <w:p>
      <w:pPr>
        <w:spacing w:after="120" w:line="300"/>
      </w:pPr>
      <w:r>
        <w:rPr>
          <w:rFonts w:ascii="游明朝" w:cs="游明朝" w:eastAsia="游明朝" w:hAnsi="游明朝"/>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2808"/>
        <w:gridCol w:w="1310"/>
        <w:gridCol w:w="131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599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基本目標1　健康づくりと介護予防施策の充実・推進【最重点】</w:t>
      </w:r>
    </w:p>
    <w:p>
      <w:pPr>
        <w:spacing w:after="120" w:line="300"/>
      </w:pPr>
      <w:r>
        <w:rPr>
          <w:rFonts w:ascii="游明朝" w:cs="游明朝" w:eastAsia="游明朝" w:hAnsi="游明朝"/>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施策1-1　通いの場の開催頻度の向上と地区差の是正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リハビリ教室、シニア元気アップ教室、住民主体の通いの場であるいきいき百歳体操などを実施しています。令和6年度の通いの場は23か所・参加者281人で、65歳以上人口に対する参加率は27.8%です。このうち週1回以上開催しているのは8か所・123人で、参加率は12.2%にとどまります。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明朝" w:cs="游明朝" w:eastAsia="游明朝" w:hAnsi="游明朝"/>
          <w:sz w:val="21"/>
          <w:szCs w:val="21"/>
        </w:rPr>
        <w:t xml:space="preserve">地区別の参加状況を把握し、参加率の低い地区に重点的に働きかけます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住民主体の通いの場の立ち上げを支援します</w:t>
      </w:r>
    </w:p>
    <w:p>
      <w:pPr>
        <w:pStyle w:val="ListParagraph"/>
        <w:numPr>
          <w:ilvl w:val="0"/>
          <w:numId w:val="2"/>
        </w:numPr>
        <w:spacing w:after="60" w:line="300"/>
      </w:pPr>
      <w:r>
        <w:rPr>
          <w:rFonts w:ascii="游明朝" w:cs="游明朝" w:eastAsia="游明朝" w:hAnsi="游明朝"/>
          <w:sz w:val="21"/>
          <w:szCs w:val="21"/>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明朝" w:cs="游明朝" w:eastAsia="游明朝" w:hAnsi="游明朝"/>
          <w:sz w:val="21"/>
          <w:szCs w:val="21"/>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施策1-2　総合事業における多様なサービスの創設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関係機関との意見交換により、総合事業を推進するための課題を把握します</w:t>
      </w:r>
    </w:p>
    <w:p>
      <w:pPr>
        <w:pStyle w:val="ListParagraph"/>
        <w:numPr>
          <w:ilvl w:val="0"/>
          <w:numId w:val="2"/>
        </w:numPr>
        <w:spacing w:after="60" w:line="300"/>
      </w:pPr>
      <w:r>
        <w:rPr>
          <w:rFonts w:ascii="游明朝" w:cs="游明朝" w:eastAsia="游明朝" w:hAnsi="游明朝"/>
          <w:sz w:val="21"/>
          <w:szCs w:val="21"/>
        </w:rPr>
        <w:t xml:space="preserve">本村の実情に適した多様なサービスの類型を検討します</w:t>
      </w:r>
    </w:p>
    <w:p>
      <w:pPr>
        <w:pStyle w:val="ListParagraph"/>
        <w:numPr>
          <w:ilvl w:val="0"/>
          <w:numId w:val="2"/>
        </w:numPr>
        <w:spacing w:after="60" w:line="300"/>
      </w:pPr>
      <w:r>
        <w:rPr>
          <w:rFonts w:ascii="游明朝" w:cs="游明朝" w:eastAsia="游明朝" w:hAnsi="游明朝"/>
          <w:sz w:val="21"/>
          <w:szCs w:val="21"/>
        </w:rPr>
        <w:t xml:space="preserve">サービスCを実施する場合は、終了後に通いの場へつなぐ仕組みをあわせて整備します</w:t>
      </w:r>
    </w:p>
    <w:p>
      <w:pPr>
        <w:pStyle w:val="ListParagraph"/>
        <w:numPr>
          <w:ilvl w:val="0"/>
          <w:numId w:val="2"/>
        </w:numPr>
        <w:spacing w:after="60" w:line="300"/>
      </w:pPr>
      <w:r>
        <w:rPr>
          <w:rFonts w:ascii="游明朝" w:cs="游明朝" w:eastAsia="游明朝" w:hAnsi="游明朝"/>
          <w:sz w:val="21"/>
          <w:szCs w:val="21"/>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施策1-3　一般介護予防事業の拡充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一般介護予防事業の実施内容を見直し、必要な事業量を確保します</w:t>
      </w:r>
    </w:p>
    <w:p>
      <w:pPr>
        <w:pStyle w:val="ListParagraph"/>
        <w:numPr>
          <w:ilvl w:val="0"/>
          <w:numId w:val="2"/>
        </w:numPr>
        <w:spacing w:after="60" w:line="300"/>
      </w:pPr>
      <w:r>
        <w:rPr>
          <w:rFonts w:ascii="游明朝" w:cs="游明朝" w:eastAsia="游明朝" w:hAnsi="游明朝"/>
          <w:sz w:val="21"/>
          <w:szCs w:val="21"/>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施策1-4　介護予防におけるデータ活用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見える化システム・KDBシステムを活用し、介護予防に関する課題を把握します</w:t>
      </w:r>
    </w:p>
    <w:p>
      <w:pPr>
        <w:pStyle w:val="ListParagraph"/>
        <w:numPr>
          <w:ilvl w:val="0"/>
          <w:numId w:val="2"/>
        </w:numPr>
        <w:spacing w:after="60" w:line="300"/>
      </w:pPr>
      <w:r>
        <w:rPr>
          <w:rFonts w:ascii="游明朝" w:cs="游明朝" w:eastAsia="游明朝" w:hAnsi="游明朝"/>
          <w:sz w:val="21"/>
          <w:szCs w:val="21"/>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施策1-5　地域リハビリテーション活動支援事業の推進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関係団体と連携し、リハビリテーション専門職が関与する仕組みを構築します</w:t>
      </w:r>
    </w:p>
    <w:p>
      <w:pPr>
        <w:pStyle w:val="ListParagraph"/>
        <w:numPr>
          <w:ilvl w:val="0"/>
          <w:numId w:val="2"/>
        </w:numPr>
        <w:spacing w:after="60" w:line="300"/>
      </w:pPr>
      <w:r>
        <w:rPr>
          <w:rFonts w:ascii="游明朝" w:cs="游明朝" w:eastAsia="游明朝" w:hAnsi="游明朝"/>
          <w:sz w:val="21"/>
          <w:szCs w:val="21"/>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施策1-6　高齢者の保健事業と介護予防の一体的実施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現在の取組を継続し、対象者の拡大を図ります</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基本目標2　安心で自分らしい生活支援の充実</w:t>
      </w:r>
    </w:p>
    <w:p>
      <w:pPr>
        <w:spacing w:after="120" w:line="300"/>
      </w:pPr>
      <w:r>
        <w:rPr>
          <w:rFonts w:ascii="游明朝" w:cs="游明朝" w:eastAsia="游明朝" w:hAnsi="游明朝"/>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明朝" w:cs="游明朝" w:eastAsia="游明朝" w:hAnsi="游明朝"/>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明朝" w:cs="游明朝" w:eastAsia="游明朝" w:hAnsi="游明朝"/>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施策2-1　高齢者の移動に関する支援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介護予防・生活支援サービス事業による移動支援の創設を検討します</w:t>
      </w:r>
    </w:p>
    <w:p>
      <w:pPr>
        <w:pStyle w:val="ListParagraph"/>
        <w:numPr>
          <w:ilvl w:val="0"/>
          <w:numId w:val="2"/>
        </w:numPr>
        <w:spacing w:after="60" w:line="300"/>
      </w:pPr>
      <w:r>
        <w:rPr>
          <w:rFonts w:ascii="游明朝" w:cs="游明朝" w:eastAsia="游明朝" w:hAnsi="游明朝"/>
          <w:sz w:val="21"/>
          <w:szCs w:val="21"/>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施策2-2　社会参加の促進とインセンティブの検討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高齢者のボランティア活動等に対するポイント事業の導入を検討します</w:t>
      </w:r>
    </w:p>
    <w:p>
      <w:pPr>
        <w:pStyle w:val="ListParagraph"/>
        <w:numPr>
          <w:ilvl w:val="0"/>
          <w:numId w:val="2"/>
        </w:numPr>
        <w:spacing w:after="60" w:line="300"/>
      </w:pPr>
      <w:r>
        <w:rPr>
          <w:rFonts w:ascii="游明朝" w:cs="游明朝" w:eastAsia="游明朝" w:hAnsi="游明朝"/>
          <w:sz w:val="21"/>
          <w:szCs w:val="21"/>
        </w:rPr>
        <w:t xml:space="preserve">高齢者の就労・雇用の機会の確保に取り組みます</w:t>
      </w:r>
    </w:p>
    <w:p>
      <w:pPr>
        <w:pStyle w:val="ListParagraph"/>
        <w:numPr>
          <w:ilvl w:val="0"/>
          <w:numId w:val="2"/>
        </w:numPr>
        <w:spacing w:after="60" w:line="300"/>
      </w:pPr>
      <w:r>
        <w:rPr>
          <w:rFonts w:ascii="游明朝" w:cs="游明朝" w:eastAsia="游明朝" w:hAnsi="游明朝"/>
          <w:sz w:val="21"/>
          <w:szCs w:val="21"/>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施策2-3　住まいの安定的な確保と生活困難者支援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住まいの確保に困難を抱える高齢者の実態を把握します</w:t>
      </w:r>
    </w:p>
    <w:p>
      <w:pPr>
        <w:pStyle w:val="ListParagraph"/>
        <w:numPr>
          <w:ilvl w:val="0"/>
          <w:numId w:val="2"/>
        </w:numPr>
        <w:spacing w:after="60" w:line="300"/>
      </w:pPr>
      <w:r>
        <w:rPr>
          <w:rFonts w:ascii="游明朝" w:cs="游明朝" w:eastAsia="游明朝" w:hAnsi="游明朝"/>
          <w:sz w:val="21"/>
          <w:szCs w:val="21"/>
        </w:rPr>
        <w:t xml:space="preserve">関係部局・関係機関と連携した支援体制を検討します</w:t>
      </w:r>
    </w:p>
    <w:p>
      <w:pPr>
        <w:pStyle w:val="ListParagraph"/>
        <w:numPr>
          <w:ilvl w:val="0"/>
          <w:numId w:val="2"/>
        </w:numPr>
        <w:spacing w:after="60" w:line="300"/>
      </w:pPr>
      <w:r>
        <w:rPr>
          <w:rFonts w:ascii="游明朝" w:cs="游明朝" w:eastAsia="游明朝" w:hAnsi="游明朝"/>
          <w:sz w:val="21"/>
          <w:szCs w:val="21"/>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施策2-4　日常生活の安全確保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避難行動要支援者名簿の整備と活用を進めます</w:t>
      </w:r>
    </w:p>
    <w:p>
      <w:pPr>
        <w:pStyle w:val="ListParagraph"/>
        <w:numPr>
          <w:ilvl w:val="0"/>
          <w:numId w:val="2"/>
        </w:numPr>
        <w:spacing w:after="60" w:line="300"/>
      </w:pPr>
      <w:r>
        <w:rPr>
          <w:rFonts w:ascii="游明朝" w:cs="游明朝" w:eastAsia="游明朝" w:hAnsi="游明朝"/>
          <w:sz w:val="21"/>
          <w:szCs w:val="21"/>
        </w:rPr>
        <w:t xml:space="preserve">介護事業所と連携した災害訓練を継続します</w:t>
      </w:r>
    </w:p>
    <w:p>
      <w:pPr>
        <w:pStyle w:val="ListParagraph"/>
        <w:numPr>
          <w:ilvl w:val="0"/>
          <w:numId w:val="2"/>
        </w:numPr>
        <w:spacing w:after="60" w:line="300"/>
      </w:pPr>
      <w:r>
        <w:rPr>
          <w:rFonts w:ascii="游明朝" w:cs="游明朝" w:eastAsia="游明朝" w:hAnsi="游明朝"/>
          <w:sz w:val="21"/>
          <w:szCs w:val="21"/>
        </w:rPr>
        <w:t xml:space="preserve">村内の介護サービス事業所の業務継続計画（BCP）の策定・見直しを支援します</w:t>
      </w:r>
    </w:p>
    <w:p>
      <w:pPr>
        <w:pStyle w:val="ListParagraph"/>
        <w:numPr>
          <w:ilvl w:val="0"/>
          <w:numId w:val="2"/>
        </w:numPr>
        <w:spacing w:after="60" w:line="300"/>
      </w:pPr>
      <w:r>
        <w:rPr>
          <w:rFonts w:ascii="游明朝" w:cs="游明朝" w:eastAsia="游明朝" w:hAnsi="游明朝"/>
          <w:sz w:val="21"/>
          <w:szCs w:val="21"/>
        </w:rPr>
        <w:t xml:space="preserve">要配慮者利用施設の避難確保計画の策定と避難訓練の実施を支援します</w:t>
      </w:r>
    </w:p>
    <w:p>
      <w:pPr>
        <w:pStyle w:val="ListParagraph"/>
        <w:numPr>
          <w:ilvl w:val="0"/>
          <w:numId w:val="2"/>
        </w:numPr>
        <w:spacing w:after="60" w:line="300"/>
      </w:pPr>
      <w:r>
        <w:rPr>
          <w:rFonts w:ascii="游明朝" w:cs="游明朝" w:eastAsia="游明朝" w:hAnsi="游明朝"/>
          <w:sz w:val="21"/>
          <w:szCs w:val="21"/>
        </w:rPr>
        <w:t xml:space="preserve">感染症が発生した場合の応援体制を、県・近隣市町村と連携して整えます</w:t>
      </w:r>
    </w:p>
    <w:p>
      <w:pPr>
        <w:pStyle w:val="ListParagraph"/>
        <w:numPr>
          <w:ilvl w:val="0"/>
          <w:numId w:val="2"/>
        </w:numPr>
        <w:spacing w:after="60" w:line="300"/>
      </w:pPr>
      <w:r>
        <w:rPr>
          <w:rFonts w:ascii="游明朝" w:cs="游明朝" w:eastAsia="游明朝" w:hAnsi="游明朝"/>
          <w:sz w:val="21"/>
          <w:szCs w:val="21"/>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明朝" w:cs="游明朝" w:eastAsia="游明朝" w:hAnsi="游明朝"/>
          <w:sz w:val="21"/>
          <w:szCs w:val="21"/>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施策2-5　地域支え合い活動の促進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生活支援コーディネーターの活動を強化します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p>
      <w:pPr>
        <w:pStyle w:val="ListParagraph"/>
        <w:numPr>
          <w:ilvl w:val="0"/>
          <w:numId w:val="2"/>
        </w:numPr>
        <w:spacing w:after="60" w:line="300"/>
      </w:pPr>
      <w:r>
        <w:rPr>
          <w:rFonts w:ascii="游明朝" w:cs="游明朝" w:eastAsia="游明朝" w:hAnsi="游明朝"/>
          <w:sz w:val="21"/>
          <w:szCs w:val="21"/>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施策2-6　冬期の生活支援（除雪）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ひとり暮らし高齢者世帯等除雪サービス事業の対象要件と実施体制を検証します</w:t>
      </w:r>
    </w:p>
    <w:p>
      <w:pPr>
        <w:pStyle w:val="ListParagraph"/>
        <w:numPr>
          <w:ilvl w:val="0"/>
          <w:numId w:val="2"/>
        </w:numPr>
        <w:spacing w:after="60" w:line="300"/>
      </w:pPr>
      <w:r>
        <w:rPr>
          <w:rFonts w:ascii="游明朝" w:cs="游明朝" w:eastAsia="游明朝" w:hAnsi="游明朝"/>
          <w:sz w:val="21"/>
          <w:szCs w:val="21"/>
        </w:rPr>
        <w:t xml:space="preserve">公的サービスと住民互助・シルバー人材センター等との役割分担を整理します</w:t>
      </w:r>
    </w:p>
    <w:p>
      <w:pPr>
        <w:pStyle w:val="ListParagraph"/>
        <w:numPr>
          <w:ilvl w:val="0"/>
          <w:numId w:val="2"/>
        </w:numPr>
        <w:spacing w:after="60" w:line="300"/>
      </w:pPr>
      <w:r>
        <w:rPr>
          <w:rFonts w:ascii="游明朝" w:cs="游明朝" w:eastAsia="游明朝" w:hAnsi="游明朝"/>
          <w:sz w:val="21"/>
          <w:szCs w:val="21"/>
        </w:rPr>
        <w:t xml:space="preserve">除雪の担い手の確保に取り組みます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介護予防・生活支援サービス事業による対応の可能性を検討します</w:t>
      </w:r>
    </w:p>
    <w:p>
      <w:pPr>
        <w:pStyle w:val="ListParagraph"/>
        <w:numPr>
          <w:ilvl w:val="0"/>
          <w:numId w:val="2"/>
        </w:numPr>
        <w:spacing w:after="60" w:line="300"/>
      </w:pPr>
      <w:r>
        <w:rPr>
          <w:rFonts w:ascii="游明朝" w:cs="游明朝" w:eastAsia="游明朝" w:hAnsi="游明朝"/>
          <w:sz w:val="21"/>
          <w:szCs w:val="21"/>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基本目標3　質の高い介護サービスの充実</w:t>
      </w:r>
    </w:p>
    <w:p>
      <w:pPr>
        <w:spacing w:after="120" w:line="300"/>
      </w:pPr>
      <w:r>
        <w:rPr>
          <w:rFonts w:ascii="游明朝" w:cs="游明朝" w:eastAsia="游明朝" w:hAnsi="游明朝"/>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spacing w:after="120" w:line="300"/>
      </w:pPr>
      <w:r>
        <w:rPr>
          <w:rFonts w:ascii="游明朝" w:cs="游明朝" w:eastAsia="游明朝" w:hAnsi="游明朝"/>
          <w:sz w:val="21"/>
          <w:szCs w:val="21"/>
        </w:rPr>
        <w:t xml:space="preserve">見込量は需要により置くことを原則とします（5-4）。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判断が供給の上限になります。施策3-2と施策1-2は、この2つについての村の判断を示すものです。</w:t>
      </w:r>
    </w:p>
    <w:p>
      <w:pPr>
        <w:spacing w:after="120" w:line="300"/>
      </w:pPr>
      <w:r>
        <w:rPr>
          <w:rFonts w:ascii="游明朝" w:cs="游明朝" w:eastAsia="游明朝" w:hAnsi="游明朝"/>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施策3-1　居宅サービスの確保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2種類しかなく、多くを村外の事業所で利用しているため、供給の状況は事業所の都合に左右されます。訪問介護・訪問看護等の担い手の確保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居宅サービス事業者との連携を維持し、必要なサービス量を確保します</w:t>
      </w:r>
    </w:p>
    <w:p>
      <w:pPr>
        <w:pStyle w:val="ListParagraph"/>
        <w:numPr>
          <w:ilvl w:val="0"/>
          <w:numId w:val="2"/>
        </w:numPr>
        <w:spacing w:after="60" w:line="300"/>
      </w:pPr>
      <w:r>
        <w:rPr>
          <w:rFonts w:ascii="游明朝" w:cs="游明朝" w:eastAsia="游明朝" w:hAnsi="游明朝"/>
          <w:sz w:val="21"/>
          <w:szCs w:val="21"/>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施策3-2　地域密着型サービスの維持と定員の検討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(8)）。</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既存事業所の運営を支援し、サービスの継続的な提供を確保します</w:t>
      </w:r>
    </w:p>
    <w:p>
      <w:pPr>
        <w:pStyle w:val="ListParagraph"/>
        <w:numPr>
          <w:ilvl w:val="0"/>
          <w:numId w:val="2"/>
        </w:numPr>
        <w:spacing w:after="60" w:line="300"/>
      </w:pPr>
      <w:r>
        <w:rPr>
          <w:rFonts w:ascii="游明朝" w:cs="游明朝" w:eastAsia="游明朝" w:hAnsi="游明朝"/>
          <w:sz w:val="21"/>
          <w:szCs w:val="21"/>
        </w:rPr>
        <w:t xml:space="preserve">認定者数の推移を踏まえ、定員の見直しの必要性を検討します</w:t>
      </w:r>
    </w:p>
    <w:p>
      <w:pPr>
        <w:pStyle w:val="ListParagraph"/>
        <w:numPr>
          <w:ilvl w:val="0"/>
          <w:numId w:val="2"/>
        </w:numPr>
        <w:spacing w:after="60" w:line="300"/>
      </w:pPr>
      <w:r>
        <w:rPr>
          <w:rFonts w:ascii="游明朝" w:cs="游明朝" w:eastAsia="游明朝" w:hAnsi="游明朝"/>
          <w:sz w:val="21"/>
          <w:szCs w:val="21"/>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施策3-3　村外施設サービスの利用支援　【改称】</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村外施設の空き状況等の情報提供を行います</w:t>
      </w:r>
    </w:p>
    <w:p>
      <w:pPr>
        <w:pStyle w:val="ListParagraph"/>
        <w:numPr>
          <w:ilvl w:val="0"/>
          <w:numId w:val="2"/>
        </w:numPr>
        <w:spacing w:after="60" w:line="300"/>
      </w:pPr>
      <w:r>
        <w:rPr>
          <w:rFonts w:ascii="游明朝" w:cs="游明朝" w:eastAsia="游明朝" w:hAnsi="游明朝"/>
          <w:sz w:val="21"/>
          <w:szCs w:val="21"/>
        </w:rPr>
        <w:t xml:space="preserve">入所を希望する方の相談に応じ、必要な調整を支援します</w:t>
      </w:r>
    </w:p>
    <w:p>
      <w:pPr>
        <w:pStyle w:val="ListParagraph"/>
        <w:numPr>
          <w:ilvl w:val="0"/>
          <w:numId w:val="2"/>
        </w:numPr>
        <w:spacing w:after="60" w:line="300"/>
      </w:pPr>
      <w:r>
        <w:rPr>
          <w:rFonts w:ascii="游明朝" w:cs="游明朝" w:eastAsia="游明朝" w:hAnsi="游明朝"/>
          <w:sz w:val="21"/>
          <w:szCs w:val="21"/>
        </w:rPr>
        <w:t xml:space="preserve">遠隔地の施設を利用するご家族の負担軽減を図ります</w:t>
      </w:r>
    </w:p>
    <w:p>
      <w:pPr>
        <w:pStyle w:val="ListParagraph"/>
        <w:numPr>
          <w:ilvl w:val="0"/>
          <w:numId w:val="2"/>
        </w:numPr>
        <w:spacing w:after="60" w:line="300"/>
      </w:pPr>
      <w:r>
        <w:rPr>
          <w:rFonts w:ascii="游明朝" w:cs="游明朝" w:eastAsia="游明朝" w:hAnsi="游明朝"/>
          <w:sz w:val="21"/>
          <w:szCs w:val="21"/>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施策3-4　短期入所サービスの確保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短期入所の利用実態と、ご家族の負担の状況を把握します</w:t>
      </w:r>
    </w:p>
    <w:p>
      <w:pPr>
        <w:pStyle w:val="ListParagraph"/>
        <w:numPr>
          <w:ilvl w:val="0"/>
          <w:numId w:val="2"/>
        </w:numPr>
        <w:spacing w:after="60" w:line="300"/>
      </w:pPr>
      <w:r>
        <w:rPr>
          <w:rFonts w:ascii="游明朝" w:cs="游明朝" w:eastAsia="游明朝" w:hAnsi="游明朝"/>
          <w:sz w:val="21"/>
          <w:szCs w:val="21"/>
        </w:rPr>
        <w:t xml:space="preserve">在宅介護実態調査の結果を踏まえ、必要な支援を検討します</w:t>
      </w:r>
    </w:p>
    <w:p>
      <w:pPr>
        <w:pStyle w:val="ListParagraph"/>
        <w:numPr>
          <w:ilvl w:val="0"/>
          <w:numId w:val="2"/>
        </w:numPr>
        <w:spacing w:after="60" w:line="300"/>
      </w:pPr>
      <w:r>
        <w:rPr>
          <w:rFonts w:ascii="游明朝" w:cs="游明朝" w:eastAsia="游明朝" w:hAnsi="游明朝"/>
          <w:sz w:val="21"/>
          <w:szCs w:val="21"/>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施策3-5　介護給付の適正化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明朝" w:cs="游明朝" w:eastAsia="游明朝" w:hAnsi="游明朝"/>
          <w:sz w:val="21"/>
          <w:szCs w:val="21"/>
        </w:rPr>
        <w:t xml:space="preserve">縦覧点検4帳票の全件点検を継続します</w:t>
      </w:r>
    </w:p>
    <w:p>
      <w:pPr>
        <w:pStyle w:val="ListParagraph"/>
        <w:numPr>
          <w:ilvl w:val="0"/>
          <w:numId w:val="2"/>
        </w:numPr>
        <w:spacing w:after="60" w:line="300"/>
      </w:pPr>
      <w:r>
        <w:rPr>
          <w:rFonts w:ascii="游明朝" w:cs="游明朝" w:eastAsia="游明朝" w:hAnsi="游明朝"/>
          <w:sz w:val="21"/>
          <w:szCs w:val="21"/>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明朝" w:cs="游明朝" w:eastAsia="游明朝" w:hAnsi="游明朝"/>
          <w:sz w:val="21"/>
          <w:szCs w:val="21"/>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明朝" w:cs="游明朝" w:eastAsia="游明朝" w:hAnsi="游明朝"/>
          <w:sz w:val="21"/>
          <w:szCs w:val="21"/>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基本目標4　地域で支えあう仕組みづくり</w:t>
      </w:r>
    </w:p>
    <w:p>
      <w:pPr>
        <w:spacing w:after="120" w:line="300"/>
      </w:pPr>
      <w:r>
        <w:rPr>
          <w:rFonts w:ascii="游明朝" w:cs="游明朝" w:eastAsia="游明朝" w:hAnsi="游明朝"/>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明朝" w:cs="游明朝" w:eastAsia="游明朝" w:hAnsi="游明朝"/>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明朝" w:cs="游明朝" w:eastAsia="游明朝" w:hAnsi="游明朝"/>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施策4-1　地域包括支援センターの機能強化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3職種の体制を維持します</w:t>
      </w:r>
    </w:p>
    <w:p>
      <w:pPr>
        <w:pStyle w:val="ListParagraph"/>
        <w:numPr>
          <w:ilvl w:val="0"/>
          <w:numId w:val="2"/>
        </w:numPr>
        <w:spacing w:after="60" w:line="300"/>
      </w:pPr>
      <w:r>
        <w:rPr>
          <w:rFonts w:ascii="游明朝" w:cs="游明朝" w:eastAsia="游明朝" w:hAnsi="游明朝"/>
          <w:sz w:val="21"/>
          <w:szCs w:val="21"/>
        </w:rPr>
        <w:t xml:space="preserve">保健師の確保に努めます</w:t>
      </w:r>
    </w:p>
    <w:p>
      <w:pPr>
        <w:pStyle w:val="ListParagraph"/>
        <w:numPr>
          <w:ilvl w:val="0"/>
          <w:numId w:val="2"/>
        </w:numPr>
        <w:spacing w:after="60" w:line="300"/>
      </w:pPr>
      <w:r>
        <w:rPr>
          <w:rFonts w:ascii="游明朝" w:cs="游明朝" w:eastAsia="游明朝" w:hAnsi="游明朝"/>
          <w:sz w:val="21"/>
          <w:szCs w:val="21"/>
        </w:rPr>
        <w:t xml:space="preserve">包括的支援事業・介護予防ケアマネジメントの適切な実施を継続します</w:t>
      </w:r>
    </w:p>
    <w:p>
      <w:pPr>
        <w:pStyle w:val="ListParagraph"/>
        <w:numPr>
          <w:ilvl w:val="0"/>
          <w:numId w:val="2"/>
        </w:numPr>
        <w:spacing w:after="60" w:line="300"/>
      </w:pPr>
      <w:r>
        <w:rPr>
          <w:rFonts w:ascii="游明朝" w:cs="游明朝" w:eastAsia="游明朝" w:hAnsi="游明朝"/>
          <w:sz w:val="21"/>
          <w:szCs w:val="21"/>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明朝" w:cs="游明朝" w:eastAsia="游明朝" w:hAnsi="游明朝"/>
          <w:sz w:val="21"/>
          <w:szCs w:val="21"/>
        </w:rPr>
        <w:t xml:space="preserve">養護者の負担軽減のための相談・支援を行います</w:t>
      </w:r>
    </w:p>
    <w:p>
      <w:pPr>
        <w:pStyle w:val="ListParagraph"/>
        <w:numPr>
          <w:ilvl w:val="0"/>
          <w:numId w:val="2"/>
        </w:numPr>
        <w:spacing w:after="60" w:line="300"/>
      </w:pPr>
      <w:r>
        <w:rPr>
          <w:rFonts w:ascii="游明朝" w:cs="游明朝" w:eastAsia="游明朝" w:hAnsi="游明朝"/>
          <w:sz w:val="21"/>
          <w:szCs w:val="21"/>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施策4-2　地域ケア会議の充実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地域ケア個別会議の開催回数と検討事例数を増やします</w:t>
      </w:r>
    </w:p>
    <w:p>
      <w:pPr>
        <w:pStyle w:val="ListParagraph"/>
        <w:numPr>
          <w:ilvl w:val="0"/>
          <w:numId w:val="2"/>
        </w:numPr>
        <w:spacing w:after="60" w:line="300"/>
      </w:pPr>
      <w:r>
        <w:rPr>
          <w:rFonts w:ascii="游明朝" w:cs="游明朝" w:eastAsia="游明朝" w:hAnsi="游明朝"/>
          <w:sz w:val="21"/>
          <w:szCs w:val="21"/>
        </w:rPr>
        <w:t xml:space="preserve">複数の個別事例から地域課題を明らかにし、政策提言につなげます</w:t>
      </w:r>
    </w:p>
    <w:p>
      <w:pPr>
        <w:pStyle w:val="ListParagraph"/>
        <w:numPr>
          <w:ilvl w:val="0"/>
          <w:numId w:val="2"/>
        </w:numPr>
        <w:spacing w:after="60" w:line="300"/>
      </w:pPr>
      <w:r>
        <w:rPr>
          <w:rFonts w:ascii="游明朝" w:cs="游明朝" w:eastAsia="游明朝" w:hAnsi="游明朝"/>
          <w:sz w:val="21"/>
          <w:szCs w:val="21"/>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施策4-3　在宅医療・介護連携の推進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多職種研修会の開催を継続します</w:t>
      </w:r>
    </w:p>
    <w:p>
      <w:pPr>
        <w:pStyle w:val="ListParagraph"/>
        <w:numPr>
          <w:ilvl w:val="0"/>
          <w:numId w:val="2"/>
        </w:numPr>
        <w:spacing w:after="60" w:line="300"/>
      </w:pPr>
      <w:r>
        <w:rPr>
          <w:rFonts w:ascii="游明朝" w:cs="游明朝" w:eastAsia="游明朝" w:hAnsi="游明朝"/>
          <w:sz w:val="21"/>
          <w:szCs w:val="21"/>
        </w:rPr>
        <w:t xml:space="preserve">医療・介護関係者間の情報共有の取組を継続します</w:t>
      </w:r>
    </w:p>
    <w:p>
      <w:pPr>
        <w:pStyle w:val="ListParagraph"/>
        <w:numPr>
          <w:ilvl w:val="0"/>
          <w:numId w:val="2"/>
        </w:numPr>
        <w:spacing w:after="60" w:line="300"/>
      </w:pPr>
      <w:r>
        <w:rPr>
          <w:rFonts w:ascii="游明朝" w:cs="游明朝" w:eastAsia="游明朝" w:hAnsi="游明朝"/>
          <w:sz w:val="21"/>
          <w:szCs w:val="21"/>
        </w:rPr>
        <w:t xml:space="preserve">入退院支援の充実を図ります</w:t>
      </w:r>
    </w:p>
    <w:p>
      <w:pPr>
        <w:pStyle w:val="ListParagraph"/>
        <w:numPr>
          <w:ilvl w:val="0"/>
          <w:numId w:val="2"/>
        </w:numPr>
        <w:spacing w:after="60" w:line="300"/>
      </w:pPr>
      <w:r>
        <w:rPr>
          <w:rFonts w:ascii="游明朝" w:cs="游明朝" w:eastAsia="游明朝" w:hAnsi="游明朝"/>
          <w:sz w:val="21"/>
          <w:szCs w:val="21"/>
        </w:rPr>
        <w:t xml:space="preserve">人生の最終段階における医療・ケアの意思決定支援（ACP・人生会議）の普及に取り組みます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在宅医療と介護の提供体制の目指すべき姿</w:t>
      </w:r>
    </w:p>
    <w:p>
      <w:pPr>
        <w:spacing w:after="120" w:line="300"/>
      </w:pPr>
      <w:r>
        <w:rPr>
          <w:rFonts w:ascii="游明朝" w:cs="游明朝" w:eastAsia="游明朝" w:hAnsi="游明朝"/>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306"/>
        <w:gridCol w:w="374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目指す姿と現状の差から抽出した課題と対応策</w:t>
      </w:r>
    </w:p>
    <w:p>
      <w:pPr>
        <w:spacing w:after="120" w:line="300"/>
      </w:pPr>
      <w:r>
        <w:rPr>
          <w:rFonts w:ascii="游明朝" w:cs="游明朝" w:eastAsia="游明朝" w:hAnsi="游明朝"/>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施策4-4　認知症施策の推進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は32点／100点で、全国平均51.1点を19.1点下回ります。8つの目標のうち最も差が大きい領域です（2-8）。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明朝" w:cs="游明朝" w:eastAsia="游明朝" w:hAnsi="游明朝"/>
          <w:sz w:val="21"/>
          <w:szCs w:val="21"/>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明朝" w:cs="游明朝" w:eastAsia="游明朝" w:hAnsi="游明朝"/>
          <w:sz w:val="21"/>
          <w:szCs w:val="21"/>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明朝" w:cs="游明朝" w:eastAsia="游明朝" w:hAnsi="游明朝"/>
          <w:sz w:val="21"/>
          <w:szCs w:val="21"/>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明朝" w:cs="游明朝" w:eastAsia="游明朝" w:hAnsi="游明朝"/>
          <w:sz w:val="21"/>
          <w:szCs w:val="21"/>
        </w:rPr>
        <w:t xml:space="preserve">認知症サポーターの養成を継続し、養成率を国の評価の基準に照らして確認します</w:t>
      </w:r>
    </w:p>
    <w:p>
      <w:pPr>
        <w:pStyle w:val="ListParagraph"/>
        <w:numPr>
          <w:ilvl w:val="0"/>
          <w:numId w:val="2"/>
        </w:numPr>
        <w:spacing w:after="60" w:line="300"/>
      </w:pPr>
      <w:r>
        <w:rPr>
          <w:rFonts w:ascii="游明朝" w:cs="游明朝" w:eastAsia="游明朝" w:hAnsi="游明朝"/>
          <w:sz w:val="21"/>
          <w:szCs w:val="21"/>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明朝" w:cs="游明朝" w:eastAsia="游明朝" w:hAnsi="游明朝"/>
          <w:sz w:val="21"/>
          <w:szCs w:val="21"/>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明朝" w:cs="游明朝" w:eastAsia="游明朝" w:hAnsi="游明朝"/>
          <w:sz w:val="21"/>
          <w:szCs w:val="21"/>
        </w:rPr>
        <w:t xml:space="preserve">専門医療機関との連携による早期診断・早期対応の体制を維持します</w:t>
      </w:r>
    </w:p>
    <w:p>
      <w:pPr>
        <w:pStyle w:val="ListParagraph"/>
        <w:numPr>
          <w:ilvl w:val="0"/>
          <w:numId w:val="2"/>
        </w:numPr>
        <w:spacing w:after="60" w:line="300"/>
      </w:pPr>
      <w:r>
        <w:rPr>
          <w:rFonts w:ascii="游明朝" w:cs="游明朝" w:eastAsia="游明朝" w:hAnsi="游明朝"/>
          <w:sz w:val="21"/>
          <w:szCs w:val="21"/>
        </w:rPr>
        <w:t xml:space="preserve">認知症初期集中支援チームの活動を継続します</w:t>
      </w:r>
    </w:p>
    <w:p>
      <w:pPr>
        <w:pStyle w:val="ListParagraph"/>
        <w:numPr>
          <w:ilvl w:val="0"/>
          <w:numId w:val="2"/>
        </w:numPr>
        <w:spacing w:after="60" w:line="300"/>
      </w:pPr>
      <w:r>
        <w:rPr>
          <w:rFonts w:ascii="游明朝" w:cs="游明朝" w:eastAsia="游明朝" w:hAnsi="游明朝"/>
          <w:sz w:val="21"/>
          <w:szCs w:val="21"/>
        </w:rPr>
        <w:t xml:space="preserve">認知症地域支援推進員の活動を、通いの場・地域ケア会議と結びつけます</w:t>
      </w:r>
    </w:p>
    <w:p>
      <w:pPr>
        <w:pStyle w:val="ListParagraph"/>
        <w:numPr>
          <w:ilvl w:val="0"/>
          <w:numId w:val="2"/>
        </w:numPr>
        <w:spacing w:after="60" w:line="300"/>
      </w:pPr>
      <w:r>
        <w:rPr>
          <w:rFonts w:ascii="游明朝" w:cs="游明朝" w:eastAsia="游明朝" w:hAnsi="游明朝"/>
          <w:sz w:val="21"/>
          <w:szCs w:val="21"/>
        </w:rPr>
        <w:t xml:space="preserve">認知症の人とご家族への支援を充実します</w:t>
      </w:r>
    </w:p>
    <w:p>
      <w:pPr>
        <w:pStyle w:val="ListParagraph"/>
        <w:numPr>
          <w:ilvl w:val="0"/>
          <w:numId w:val="2"/>
        </w:numPr>
        <w:spacing w:after="60" w:line="300"/>
      </w:pPr>
      <w:r>
        <w:rPr>
          <w:rFonts w:ascii="游明朝" w:cs="游明朝" w:eastAsia="游明朝" w:hAnsi="游明朝"/>
          <w:sz w:val="21"/>
          <w:szCs w:val="21"/>
        </w:rPr>
        <w:t xml:space="preserve">相談窓口の周知を強化します。とくに周知率の低い地区に重点的に働きかけます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施策4-5　生活支援体制の整備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生活支援コーディネーターの活動を継続します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施策4-6　介護人材の確保と生産性向上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定住自立圏（喜多方市・西会津町・北塩原村）の枠組みを活用した研修費用助成を継続します</w:t>
      </w:r>
    </w:p>
    <w:p>
      <w:pPr>
        <w:pStyle w:val="ListParagraph"/>
        <w:numPr>
          <w:ilvl w:val="0"/>
          <w:numId w:val="2"/>
        </w:numPr>
        <w:spacing w:after="60" w:line="300"/>
      </w:pPr>
      <w:r>
        <w:rPr>
          <w:rFonts w:ascii="游明朝" w:cs="游明朝" w:eastAsia="游明朝" w:hAnsi="游明朝"/>
          <w:sz w:val="21"/>
          <w:szCs w:val="21"/>
        </w:rPr>
        <w:t xml:space="preserve">介護サービス事業者・教育関係者等と連携した取組を進めます</w:t>
      </w:r>
    </w:p>
    <w:p>
      <w:pPr>
        <w:pStyle w:val="ListParagraph"/>
        <w:numPr>
          <w:ilvl w:val="0"/>
          <w:numId w:val="2"/>
        </w:numPr>
        <w:spacing w:after="60" w:line="300"/>
      </w:pPr>
      <w:r>
        <w:rPr>
          <w:rFonts w:ascii="游明朝" w:cs="游明朝" w:eastAsia="游明朝" w:hAnsi="游明朝"/>
          <w:sz w:val="21"/>
          <w:szCs w:val="21"/>
        </w:rPr>
        <w:t xml:space="preserve">多様な人材・介護助手等、元気な高齢者の活躍の場を検討します</w:t>
      </w:r>
    </w:p>
    <w:p>
      <w:pPr>
        <w:pStyle w:val="ListParagraph"/>
        <w:numPr>
          <w:ilvl w:val="0"/>
          <w:numId w:val="2"/>
        </w:numPr>
        <w:spacing w:after="60" w:line="300"/>
      </w:pPr>
      <w:r>
        <w:rPr>
          <w:rFonts w:ascii="游明朝" w:cs="游明朝" w:eastAsia="游明朝" w:hAnsi="游明朝"/>
          <w:sz w:val="21"/>
          <w:szCs w:val="21"/>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施策4-7　成年後見制度の利用促進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明朝" w:cs="游明朝" w:eastAsia="游明朝" w:hAnsi="游明朝"/>
          <w:sz w:val="21"/>
          <w:szCs w:val="21"/>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明朝" w:cs="游明朝" w:eastAsia="游明朝" w:hAnsi="游明朝"/>
          <w:sz w:val="21"/>
          <w:szCs w:val="21"/>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明朝" w:cs="游明朝" w:eastAsia="游明朝" w:hAnsi="游明朝"/>
          <w:sz w:val="21"/>
          <w:szCs w:val="21"/>
        </w:rPr>
        <w:t xml:space="preserve">法人後見の担い手の確保について、社会福祉協議会等と協議します</w:t>
      </w:r>
    </w:p>
    <w:p>
      <w:pPr>
        <w:pStyle w:val="ListParagraph"/>
        <w:numPr>
          <w:ilvl w:val="0"/>
          <w:numId w:val="2"/>
        </w:numPr>
        <w:spacing w:after="60" w:line="300"/>
      </w:pPr>
      <w:r>
        <w:rPr>
          <w:rFonts w:ascii="游明朝" w:cs="游明朝" w:eastAsia="游明朝" w:hAnsi="游明朝"/>
          <w:sz w:val="21"/>
          <w:szCs w:val="21"/>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明朝" w:cs="游明朝" w:eastAsia="游明朝" w:hAnsi="游明朝"/>
          <w:sz w:val="21"/>
          <w:szCs w:val="21"/>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明朝" w:cs="游明朝" w:eastAsia="游明朝" w:hAnsi="游明朝"/>
          <w:sz w:val="21"/>
          <w:szCs w:val="21"/>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基本目標5　計画の推進と進捗管理【新設】</w:t>
      </w:r>
    </w:p>
    <w:p>
      <w:pPr>
        <w:spacing w:after="120" w:line="300"/>
      </w:pPr>
      <w:r>
        <w:rPr>
          <w:rFonts w:ascii="游明朝" w:cs="游明朝" w:eastAsia="游明朝" w:hAnsi="游明朝"/>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高齢者福祉サービスの量の目標</w:t>
      </w:r>
    </w:p>
    <w:p>
      <w:pPr>
        <w:spacing w:after="120" w:line="300"/>
      </w:pPr>
      <w:r>
        <w:rPr>
          <w:rFonts w:ascii="游明朝" w:cs="游明朝" w:eastAsia="游明朝" w:hAnsi="游明朝"/>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spacing w:after="100" w:line="300"/>
      </w:pPr>
      <w:r>
        <w:rPr>
          <w:rFonts w:ascii="游ゴシック" w:cs="游ゴシック" w:eastAsia="游ゴシック" w:hAnsi="游ゴシック"/>
          <w:b/>
          <w:bCs/>
          <w:color w:val="2E75B6"/>
          <w:sz w:val="21"/>
          <w:szCs w:val="21"/>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1030"/>
        <w:gridCol w:w="749"/>
        <w:gridCol w:w="749"/>
        <w:gridCol w:w="749"/>
        <w:gridCol w:w="3088"/>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1030"/>
        <w:gridCol w:w="749"/>
        <w:gridCol w:w="749"/>
        <w:gridCol w:w="749"/>
        <w:gridCol w:w="205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明朝" w:cs="游明朝" w:eastAsia="游明朝" w:hAnsi="游明朝"/>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4-7　認知症施策推進計画としての位置づけ</w:t>
      </w:r>
    </w:p>
    <w:p>
      <w:pPr>
        <w:spacing w:after="120" w:line="300"/>
      </w:pPr>
      <w:r>
        <w:rPr>
          <w:rFonts w:ascii="游明朝" w:cs="游明朝" w:eastAsia="游明朝" w:hAnsi="游明朝"/>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spacing w:after="100" w:line="300"/>
      </w:pPr>
      <w:r>
        <w:rPr>
          <w:rFonts w:ascii="游ゴシック" w:cs="游ゴシック" w:eastAsia="游ゴシック" w:hAnsi="游ゴシック"/>
          <w:b/>
          <w:bCs/>
          <w:color w:val="2E75B6"/>
          <w:sz w:val="21"/>
          <w:szCs w:val="21"/>
        </w:rPr>
        <w:t xml:space="preserve">(1) 法が市町村に求めていること</w:t>
      </w:r>
    </w:p>
    <w:p>
      <w:pPr>
        <w:spacing w:after="120" w:line="300"/>
      </w:pPr>
      <w:r>
        <w:rPr>
          <w:rFonts w:ascii="游明朝" w:cs="游明朝" w:eastAsia="游明朝" w:hAnsi="游明朝"/>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123"/>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spacing w:after="100" w:line="300"/>
      </w:pPr>
      <w:r>
        <w:rPr>
          <w:rFonts w:ascii="游ゴシック" w:cs="游ゴシック" w:eastAsia="游ゴシック" w:hAnsi="游ゴシック"/>
          <w:b/>
          <w:bCs/>
          <w:color w:val="2E75B6"/>
          <w:sz w:val="21"/>
          <w:szCs w:val="21"/>
        </w:rPr>
        <w:t xml:space="preserve">(2) 3つの基本的な考え方</w:t>
      </w:r>
    </w:p>
    <w:p>
      <w:pPr>
        <w:spacing w:after="120" w:line="300"/>
      </w:pPr>
      <w:r>
        <w:rPr>
          <w:rFonts w:ascii="游明朝" w:cs="游明朝" w:eastAsia="游明朝" w:hAnsi="游明朝"/>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306"/>
        <w:gridCol w:w="299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spacing w:after="100" w:line="300"/>
      </w:pPr>
      <w:r>
        <w:rPr>
          <w:rFonts w:ascii="游ゴシック" w:cs="游ゴシック" w:eastAsia="游ゴシック" w:hAnsi="游ゴシック"/>
          <w:b/>
          <w:bCs/>
          <w:color w:val="2E75B6"/>
          <w:sz w:val="21"/>
          <w:szCs w:val="21"/>
        </w:rPr>
        <w:t xml:space="preserve">(3) 基本的施策と本計画の施策との対応</w:t>
      </w:r>
    </w:p>
    <w:p>
      <w:pPr>
        <w:spacing w:after="120" w:line="300"/>
      </w:pPr>
      <w:r>
        <w:rPr>
          <w:rFonts w:ascii="游明朝" w:cs="游明朝" w:eastAsia="游明朝" w:hAnsi="游明朝"/>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2246"/>
        <w:gridCol w:w="3744"/>
        <w:gridCol w:w="2715"/>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明朝" w:cs="游明朝" w:eastAsia="游明朝" w:hAnsi="游明朝"/>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明朝" w:cs="游明朝" w:eastAsia="游明朝" w:hAnsi="游明朝"/>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明朝" w:cs="游明朝" w:eastAsia="游明朝" w:hAnsi="游明朝"/>
          <w:sz w:val="21"/>
          <w:szCs w:val="21"/>
        </w:rPr>
        <w:t xml:space="preserve">第20条（研究等の推進）は、村が単独で担う性格のものではありません。国・県の研究や調査に協力する立場として位置づけます。</w:t>
      </w:r>
    </w:p>
    <w:p>
      <w:pPr>
        <w:spacing w:after="100" w:line="300"/>
      </w:pPr>
      <w:r>
        <w:rPr>
          <w:rFonts w:ascii="游ゴシック" w:cs="游ゴシック" w:eastAsia="游ゴシック" w:hAnsi="游ゴシック"/>
          <w:b/>
          <w:bCs/>
          <w:color w:val="2E75B6"/>
          <w:sz w:val="21"/>
          <w:szCs w:val="21"/>
        </w:rPr>
        <w:t xml:space="preserve">(4) 認知症の日および認知症月間</w:t>
      </w:r>
    </w:p>
    <w:p>
      <w:pPr>
        <w:spacing w:after="120" w:line="300"/>
      </w:pPr>
      <w:r>
        <w:rPr>
          <w:rFonts w:ascii="游明朝" w:cs="游明朝" w:eastAsia="游明朝" w:hAnsi="游明朝"/>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明朝" w:cs="游明朝" w:eastAsia="游明朝" w:hAnsi="游明朝"/>
          <w:sz w:val="21"/>
          <w:szCs w:val="21"/>
        </w:rPr>
        <w:t xml:space="preserve">本村では、認知症の日および認知症月間に合わせた取組を行っていません。普及啓発（施策4-4）を進める機会として、9月の取組を計画に位置づけます。</w:t>
      </w:r>
    </w:p>
    <w:p>
      <w:pPr>
        <w:spacing w:after="100" w:line="300"/>
      </w:pPr>
      <w:r>
        <w:rPr>
          <w:rFonts w:ascii="游ゴシック" w:cs="游ゴシック" w:eastAsia="游ゴシック" w:hAnsi="游ゴシック"/>
          <w:b/>
          <w:bCs/>
          <w:color w:val="2E75B6"/>
          <w:sz w:val="21"/>
          <w:szCs w:val="21"/>
        </w:rPr>
        <w:t xml:space="preserve">(5) 認知症の人および家族等の参画</w:t>
      </w:r>
    </w:p>
    <w:p>
      <w:pPr>
        <w:spacing w:after="120" w:line="300"/>
      </w:pPr>
      <w:r>
        <w:rPr>
          <w:rFonts w:ascii="游明朝" w:cs="游明朝" w:eastAsia="游明朝" w:hAnsi="游明朝"/>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1872"/>
        <w:gridCol w:w="1872"/>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spacing w:after="100" w:line="300"/>
      </w:pPr>
      <w:r>
        <w:rPr>
          <w:rFonts w:ascii="游ゴシック" w:cs="游ゴシック" w:eastAsia="游ゴシック" w:hAnsi="游ゴシック"/>
          <w:b/>
          <w:bCs/>
          <w:color w:val="2E75B6"/>
          <w:sz w:val="21"/>
          <w:szCs w:val="21"/>
        </w:rPr>
        <w:t xml:space="preserve">(6) 施策の実施状況の評価と公表</w:t>
      </w:r>
    </w:p>
    <w:p>
      <w:pPr>
        <w:spacing w:after="120" w:line="300"/>
      </w:pPr>
      <w:r>
        <w:rPr>
          <w:rFonts w:ascii="游明朝" w:cs="游明朝" w:eastAsia="游明朝" w:hAnsi="游明朝"/>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7675"/>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118"/>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25.0人／月（令和7年度）。稼働率93%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国の評価指標における認知症総合支援（支援交付金 目標Ⅱ）は32点／100点で、全国平均51.1点を19.1点下回ります。8つの目標のうち最も差が大きい領域です（2-8）。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spacing w:after="100" w:line="300"/>
      </w:pPr>
      <w:r>
        <w:rPr>
          <w:rFonts w:ascii="游ゴシック" w:cs="游ゴシック" w:eastAsia="游ゴシック" w:hAnsi="游ゴシック"/>
          <w:b/>
          <w:bCs/>
          <w:color w:val="2E75B6"/>
          <w:sz w:val="21"/>
          <w:szCs w:val="21"/>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872"/>
        <w:gridCol w:w="1685"/>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推計の考え方</w:t>
      </w:r>
    </w:p>
    <w:p>
      <w:pPr>
        <w:spacing w:after="120" w:line="300"/>
      </w:pPr>
      <w:r>
        <w:rPr>
          <w:rFonts w:ascii="游明朝" w:cs="游明朝" w:eastAsia="游明朝" w:hAnsi="游明朝"/>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1"/>
          <w:szCs w:val="21"/>
        </w:rPr>
        <w:t xml:space="preserve">用いる人口の系列</w:t>
      </w:r>
    </w:p>
    <w:p>
      <w:pPr>
        <w:spacing w:after="120" w:line="300"/>
      </w:pPr>
      <w:r>
        <w:rPr>
          <w:rFonts w:ascii="游明朝" w:cs="游明朝" w:eastAsia="游明朝" w:hAnsi="游明朝"/>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5"/>
        <w:gridCol w:w="4493"/>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spacing w:after="100" w:line="300"/>
      </w:pPr>
      <w:r>
        <w:rPr>
          <w:rFonts w:ascii="游ゴシック" w:cs="游ゴシック" w:eastAsia="游ゴシック" w:hAnsi="游ゴシック"/>
          <w:b/>
          <w:bCs/>
          <w:color w:val="2E75B6"/>
          <w:sz w:val="21"/>
          <w:szCs w:val="21"/>
        </w:rPr>
        <w:t xml:space="preserve">第1号被保険者数（★第9期からの変更点）</w:t>
      </w:r>
    </w:p>
    <w:p>
      <w:pPr>
        <w:spacing w:after="120" w:line="300"/>
      </w:pPr>
      <w:r>
        <w:rPr>
          <w:rFonts w:ascii="游明朝" w:cs="游明朝" w:eastAsia="游明朝" w:hAnsi="游明朝"/>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明朝" w:cs="游明朝" w:eastAsia="游明朝" w:hAnsi="游明朝"/>
          <w:sz w:val="21"/>
          <w:szCs w:val="21"/>
        </w:rPr>
        <w:t xml:space="preserve">置き直しを行う理由は、配布された推計用人口が令和8年で953人であるのに対し、実績が1,012人と59人（6.2%）多いためです。この差をそのままにすると、第9期と同じ過少推計を繰り返すことになります。</w:t>
      </w:r>
    </w:p>
    <w:p>
      <w:pPr>
        <w:spacing w:after="100" w:line="300"/>
      </w:pPr>
      <w:r>
        <w:rPr>
          <w:rFonts w:ascii="游ゴシック" w:cs="游ゴシック" w:eastAsia="游ゴシック" w:hAnsi="游ゴシック"/>
          <w:b/>
          <w:bCs/>
          <w:color w:val="2E75B6"/>
          <w:sz w:val="21"/>
          <w:szCs w:val="21"/>
        </w:rPr>
        <w:t xml:space="preserve">参考　国勢調査ベースの推計による算定</w:t>
      </w:r>
    </w:p>
    <w:p>
      <w:pPr>
        <w:spacing w:after="120" w:line="300"/>
      </w:pPr>
      <w:r>
        <w:rPr>
          <w:rFonts w:ascii="游明朝" w:cs="游明朝" w:eastAsia="游明朝" w:hAnsi="游明朝"/>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要支援・要介護認定者数</w:t>
      </w:r>
    </w:p>
    <w:p>
      <w:pPr>
        <w:spacing w:after="120" w:line="300"/>
      </w:pPr>
      <w:r>
        <w:rPr>
          <w:rFonts w:ascii="游明朝" w:cs="游明朝" w:eastAsia="游明朝" w:hAnsi="游明朝"/>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spacing w:after="100" w:line="300"/>
      </w:pPr>
      <w:r>
        <w:rPr>
          <w:rFonts w:ascii="游ゴシック" w:cs="游ゴシック" w:eastAsia="游ゴシック" w:hAnsi="游ゴシック"/>
          <w:b/>
          <w:bCs/>
          <w:color w:val="2E75B6"/>
          <w:sz w:val="21"/>
          <w:szCs w:val="21"/>
        </w:rPr>
        <w:t xml:space="preserve">サービス見込量・給付費</w:t>
      </w:r>
    </w:p>
    <w:p>
      <w:pPr>
        <w:spacing w:after="120" w:line="300"/>
      </w:pPr>
      <w:r>
        <w:rPr>
          <w:rFonts w:ascii="游明朝" w:cs="游明朝" w:eastAsia="游明朝" w:hAnsi="游明朝"/>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4867"/>
        <w:gridCol w:w="2059"/>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各節の算定の明細（用いたデータの出所・計算の過程・検算の結果）は、算定資料として別途お示し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第1号被保険者数の見込み</w:t>
      </w:r>
    </w:p>
    <w:p>
      <w:pPr>
        <w:spacing w:after="120" w:line="300"/>
      </w:pPr>
      <w:r>
        <w:rPr>
          <w:rFonts w:ascii="游明朝" w:cs="游明朝" w:eastAsia="游明朝" w:hAnsi="游明朝"/>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872"/>
        <w:gridCol w:w="2059"/>
        <w:gridCol w:w="1498"/>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各年1月1日時点。令和7年は令和7年12月末の実績です。</w:t>
      </w:r>
    </w:p>
    <w:p>
      <w:pPr>
        <w:spacing w:after="120" w:line="300"/>
      </w:pPr>
      <w:r>
        <w:rPr>
          <w:rFonts w:ascii="游明朝" w:cs="游明朝" w:eastAsia="游明朝" w:hAnsi="游明朝"/>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spacing w:after="100" w:line="300"/>
      </w:pPr>
      <w:r>
        <w:rPr>
          <w:rFonts w:ascii="游ゴシック" w:cs="游ゴシック" w:eastAsia="游ゴシック" w:hAnsi="游ゴシック"/>
          <w:b/>
          <w:bCs/>
          <w:color w:val="2E75B6"/>
          <w:sz w:val="21"/>
          <w:szCs w:val="21"/>
        </w:rPr>
        <w:t xml:space="preserve">推計の検証</w:t>
      </w:r>
    </w:p>
    <w:p>
      <w:pPr>
        <w:spacing w:after="120" w:line="300"/>
      </w:pPr>
      <w:r>
        <w:rPr>
          <w:rFonts w:ascii="游明朝" w:cs="游明朝" w:eastAsia="游明朝" w:hAnsi="游明朝"/>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685"/>
        <w:gridCol w:w="1685"/>
        <w:gridCol w:w="168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要支援・要介護認定者数の見込み</w:t>
      </w:r>
    </w:p>
    <w:p>
      <w:pPr>
        <w:spacing w:after="120" w:line="300"/>
      </w:pPr>
      <w:r>
        <w:rPr>
          <w:rFonts w:ascii="游明朝" w:cs="游明朝" w:eastAsia="游明朝" w:hAnsi="游明朝"/>
          <w:sz w:val="21"/>
          <w:szCs w:val="21"/>
        </w:rPr>
        <w:t xml:space="preserve">5-2の第1号被保険者数に、前期高齢者・後期高齢者それぞれの要介護度別認定率（令和6年から令和8年までの3か年平均）を乗じて算定します。用いた認定率は次のとおりです。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約6倍です。本村で今後認定者が増えるのは、高齢者が増えるからではなく、高齢者の中で後期高齢者の比率が上がるためです。上表の認定率に5-2のB案の前期高齢者数・後期高齢者数を乗じれば、下表の要介護度別の値がそのまま得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842"/>
        <w:gridCol w:w="842"/>
        <w:gridCol w:w="842"/>
        <w:gridCol w:w="842"/>
        <w:gridCol w:w="842"/>
        <w:gridCol w:w="842"/>
        <w:gridCol w:w="842"/>
        <w:gridCol w:w="842"/>
        <w:gridCol w:w="131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令和8年は令和8年3月末の実績です。令和9年以降は、前期高齢者・後期高齢者それぞれの要介護度別認定率を5-2のB案の人口に乗じた値です。第1号被保険者数が1,012人から987人へ2.5%減るにもかかわらず、認定者数は214人から220人へ6人（2.8%）増えます。後期高齢者の割合が高まるためです。認定率は21.1%から22.3%へ1.2ポイント上が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計」は要介護度別の値を四捨五入する前に合計し、その合計を四捨五入した値です。このため要介護度別の数字をそのまま足した値と最大1人違います（令和9年は内訳の和213人・計214人、令和10年は内訳の和218人・計217人）。保険料の算定には「計」の値を用いています。</w:t>
      </w:r>
    </w:p>
    <w:p>
      <w:pPr>
        <w:spacing w:after="100" w:line="300"/>
      </w:pPr>
      <w:r>
        <w:rPr>
          <w:rFonts w:ascii="游ゴシック" w:cs="游ゴシック" w:eastAsia="游ゴシック" w:hAnsi="游ゴシック"/>
          <w:b/>
          <w:bCs/>
          <w:color w:val="2E75B6"/>
          <w:sz w:val="21"/>
          <w:szCs w:val="21"/>
        </w:rPr>
        <w:t xml:space="preserve">認定率の置き方による幅</w:t>
      </w:r>
    </w:p>
    <w:p>
      <w:pPr>
        <w:spacing w:after="120" w:line="300"/>
      </w:pPr>
      <w:r>
        <w:rPr>
          <w:rFonts w:ascii="游明朝" w:cs="游明朝" w:eastAsia="游明朝" w:hAnsi="游明朝"/>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1123"/>
        <w:gridCol w:w="1123"/>
        <w:gridCol w:w="1498"/>
        <w:gridCol w:w="149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明朝" w:cs="游明朝" w:eastAsia="游明朝" w:hAnsi="游明朝"/>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介護サービス見込量</w:t>
      </w:r>
    </w:p>
    <w:p>
      <w:pPr>
        <w:spacing w:after="120" w:line="300"/>
      </w:pPr>
      <w:r>
        <w:rPr>
          <w:rFonts w:ascii="游明朝" w:cs="游明朝" w:eastAsia="游明朝" w:hAnsi="游明朝"/>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明朝" w:cs="游明朝" w:eastAsia="游明朝" w:hAnsi="游明朝"/>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明朝" w:cs="游明朝" w:eastAsia="游明朝" w:hAnsi="游明朝"/>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spacing w:after="100" w:line="300"/>
      </w:pPr>
      <w:r>
        <w:rPr>
          <w:rFonts w:ascii="游ゴシック" w:cs="游ゴシック" w:eastAsia="游ゴシック" w:hAnsi="游ゴシック"/>
          <w:b/>
          <w:bCs/>
          <w:color w:val="2E75B6"/>
          <w:sz w:val="21"/>
          <w:szCs w:val="21"/>
        </w:rPr>
        <w:t xml:space="preserve">基準年度とデータの月数</w:t>
      </w:r>
    </w:p>
    <w:p>
      <w:pPr>
        <w:spacing w:after="120" w:line="300"/>
      </w:pPr>
      <w:r>
        <w:rPr>
          <w:rFonts w:ascii="游明朝" w:cs="游明朝" w:eastAsia="游明朝" w:hAnsi="游明朝"/>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明朝" w:cs="游明朝" w:eastAsia="游明朝" w:hAnsi="游明朝"/>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04"/>
        <w:gridCol w:w="1404"/>
        <w:gridCol w:w="2059"/>
        <w:gridCol w:w="1123"/>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明朝" w:cs="游明朝" w:eastAsia="游明朝" w:hAnsi="游明朝"/>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00" w:line="300"/>
      </w:pPr>
      <w:r>
        <w:rPr>
          <w:rFonts w:ascii="游ゴシック" w:cs="游ゴシック" w:eastAsia="游ゴシック" w:hAnsi="游ゴシック"/>
          <w:b/>
          <w:bCs/>
          <w:color w:val="2E75B6"/>
          <w:sz w:val="21"/>
          <w:szCs w:val="21"/>
        </w:rPr>
        <w:t xml:space="preserve">利用率の分母</w:t>
      </w:r>
    </w:p>
    <w:p>
      <w:pPr>
        <w:spacing w:after="120" w:line="300"/>
      </w:pPr>
      <w:r>
        <w:rPr>
          <w:rFonts w:ascii="游明朝" w:cs="游明朝" w:eastAsia="游明朝" w:hAnsi="游明朝"/>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明朝" w:cs="游明朝" w:eastAsia="游明朝" w:hAnsi="游明朝"/>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217"/>
        <w:gridCol w:w="1217"/>
        <w:gridCol w:w="1217"/>
        <w:gridCol w:w="1217"/>
        <w:gridCol w:w="299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spacing w:after="100" w:line="300"/>
      </w:pPr>
      <w:r>
        <w:rPr>
          <w:rFonts w:ascii="游ゴシック" w:cs="游ゴシック" w:eastAsia="游ゴシック" w:hAnsi="游ゴシック"/>
          <w:b/>
          <w:bCs/>
          <w:color w:val="2E75B6"/>
          <w:sz w:val="21"/>
          <w:szCs w:val="21"/>
        </w:rPr>
        <w:t xml:space="preserve">算定の対象とするサービス</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(1) 居宅サービス</w:t>
      </w:r>
    </w:p>
    <w:p>
      <w:pPr>
        <w:spacing w:after="120" w:line="300"/>
      </w:pPr>
      <w:r>
        <w:rPr>
          <w:rFonts w:ascii="游明朝" w:cs="游明朝" w:eastAsia="游明朝" w:hAnsi="游明朝"/>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明朝" w:cs="游明朝" w:eastAsia="游明朝" w:hAnsi="游明朝"/>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00" w:line="300"/>
      </w:pPr>
      <w:r>
        <w:rPr>
          <w:rFonts w:ascii="游ゴシック" w:cs="游ゴシック" w:eastAsia="游ゴシック" w:hAnsi="游ゴシック"/>
          <w:b/>
          <w:bCs/>
          <w:color w:val="2E75B6"/>
          <w:sz w:val="21"/>
          <w:szCs w:val="21"/>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spacing w:after="100" w:line="300"/>
      </w:pPr>
      <w:r>
        <w:rPr>
          <w:rFonts w:ascii="游ゴシック" w:cs="游ゴシック" w:eastAsia="游ゴシック" w:hAnsi="游ゴシック"/>
          <w:b/>
          <w:bCs/>
          <w:color w:val="2E75B6"/>
          <w:sz w:val="21"/>
          <w:szCs w:val="21"/>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明朝" w:cs="游明朝" w:eastAsia="游明朝" w:hAnsi="游明朝"/>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00" w:line="300"/>
      </w:pPr>
      <w:r>
        <w:rPr>
          <w:rFonts w:ascii="游ゴシック" w:cs="游ゴシック" w:eastAsia="游ゴシック" w:hAnsi="游ゴシック"/>
          <w:b/>
          <w:bCs/>
          <w:color w:val="2E75B6"/>
          <w:sz w:val="21"/>
          <w:szCs w:val="21"/>
        </w:rPr>
        <w:t xml:space="preserve">(4) 令和9年4月に新設される区分</w:t>
      </w:r>
    </w:p>
    <w:p>
      <w:pPr>
        <w:spacing w:after="120" w:line="300"/>
      </w:pPr>
      <w:r>
        <w:rPr>
          <w:rFonts w:ascii="游明朝" w:cs="游明朝" w:eastAsia="游明朝" w:hAnsi="游明朝"/>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327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00" w:line="300"/>
      </w:pPr>
      <w:r>
        <w:rPr>
          <w:rFonts w:ascii="游ゴシック" w:cs="游ゴシック" w:eastAsia="游ゴシック" w:hAnsi="游ゴシック"/>
          <w:b/>
          <w:bCs/>
          <w:color w:val="2E75B6"/>
          <w:sz w:val="21"/>
          <w:szCs w:val="21"/>
        </w:rPr>
        <w:t xml:space="preserve">(5) 供給の制約</w:t>
      </w:r>
    </w:p>
    <w:p>
      <w:pPr>
        <w:spacing w:after="120" w:line="300"/>
      </w:pPr>
      <w:r>
        <w:rPr>
          <w:rFonts w:ascii="游明朝" w:cs="游明朝" w:eastAsia="游明朝" w:hAnsi="游明朝"/>
          <w:sz w:val="21"/>
          <w:szCs w:val="21"/>
        </w:rPr>
        <w:t xml:space="preserve">村内で提供されているサービスは認知症対応型共同生活介護（定員27人）と通所介護（定員50人）の2種類だけです（2-5）。見込量が村内の定員を超えるかどうかを確かめました。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936"/>
        <w:gridCol w:w="936"/>
        <w:gridCol w:w="936"/>
        <w:gridCol w:w="936"/>
        <w:gridCol w:w="936"/>
        <w:gridCol w:w="84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いずれも計画期間に村内の定員を超えません。最も高いのは認知症対応型共同生活介護の令和11年度で90.7%です。したがって定員による頭打ちを課しても見込量は動きません。</w:t>
      </w:r>
    </w:p>
    <w:p>
      <w:pPr>
        <w:spacing w:after="120" w:line="300"/>
      </w:pPr>
      <w:r>
        <w:rPr>
          <w:rFonts w:ascii="游明朝" w:cs="游明朝" w:eastAsia="游明朝" w:hAnsi="游明朝"/>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spacing w:after="100" w:line="300"/>
      </w:pPr>
      <w:r>
        <w:rPr>
          <w:rFonts w:ascii="游ゴシック" w:cs="游ゴシック" w:eastAsia="游ゴシック" w:hAnsi="游ゴシック"/>
          <w:b/>
          <w:bCs/>
          <w:color w:val="2E75B6"/>
          <w:sz w:val="21"/>
          <w:szCs w:val="21"/>
        </w:rPr>
        <w:t xml:space="preserve">(6) 見込量の自己点検</w:t>
      </w:r>
    </w:p>
    <w:p>
      <w:pPr>
        <w:spacing w:after="120" w:line="300"/>
      </w:pPr>
      <w:r>
        <w:rPr>
          <w:rFonts w:ascii="游明朝" w:cs="游明朝" w:eastAsia="游明朝" w:hAnsi="游明朝"/>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明朝" w:cs="游明朝" w:eastAsia="游明朝" w:hAnsi="游明朝"/>
          <w:sz w:val="21"/>
          <w:szCs w:val="21"/>
        </w:rPr>
        <w:t xml:space="preserve">　変化率（％）＝（当該年度の利用者数 － 前年度の利用者数）÷ 前年度の利用者数 × 100</w:t>
      </w:r>
    </w:p>
    <w:p>
      <w:pPr>
        <w:spacing w:after="120" w:line="300"/>
      </w:pPr>
      <w:r>
        <w:rPr>
          <w:rFonts w:ascii="游明朝" w:cs="游明朝" w:eastAsia="游明朝" w:hAnsi="游明朝"/>
          <w:sz w:val="21"/>
          <w:szCs w:val="21"/>
        </w:rPr>
        <w:t xml:space="preserve">　閾値　＝　Q1 － 2×（Q3－Q1）　から　Q3 ＋ 2×（Q3－Q1）　まで</w:t>
      </w:r>
    </w:p>
    <w:p>
      <w:pPr>
        <w:spacing w:after="120" w:line="300"/>
      </w:pPr>
      <w:r>
        <w:rPr>
          <w:rFonts w:ascii="游明朝" w:cs="游明朝" w:eastAsia="游明朝" w:hAnsi="游明朝"/>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明朝" w:cs="游明朝" w:eastAsia="游明朝" w:hAnsi="游明朝"/>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明朝" w:cs="游明朝" w:eastAsia="游明朝" w:hAnsi="游明朝"/>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1123"/>
        <w:gridCol w:w="1123"/>
        <w:gridCol w:w="103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明朝" w:cs="游明朝" w:eastAsia="游明朝" w:hAnsi="游明朝"/>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123"/>
        <w:gridCol w:w="1123"/>
        <w:gridCol w:w="1123"/>
        <w:gridCol w:w="1123"/>
        <w:gridCol w:w="29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spacing w:after="100" w:line="300"/>
      </w:pPr>
      <w:r>
        <w:rPr>
          <w:rFonts w:ascii="游ゴシック" w:cs="游ゴシック" w:eastAsia="游ゴシック" w:hAnsi="游ゴシック"/>
          <w:b/>
          <w:bCs/>
          <w:color w:val="2E75B6"/>
          <w:sz w:val="21"/>
          <w:szCs w:val="21"/>
        </w:rPr>
        <w:t xml:space="preserve">(7) 介護給付と予防給付の区分</w:t>
      </w:r>
    </w:p>
    <w:p>
      <w:pPr>
        <w:spacing w:after="120" w:line="300"/>
      </w:pPr>
      <w:r>
        <w:rPr>
          <w:rFonts w:ascii="游明朝" w:cs="游明朝" w:eastAsia="游明朝" w:hAnsi="游明朝"/>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spacing w:after="100" w:line="300"/>
      </w:pPr>
      <w:r>
        <w:rPr>
          <w:rFonts w:ascii="游ゴシック" w:cs="游ゴシック" w:eastAsia="游ゴシック" w:hAnsi="游ゴシック"/>
          <w:b/>
          <w:bCs/>
          <w:color w:val="2E75B6"/>
          <w:sz w:val="21"/>
          <w:szCs w:val="21"/>
        </w:rPr>
        <w:t xml:space="preserve">(8) 地域密着型サービスの必要利用定員総数</w:t>
      </w:r>
    </w:p>
    <w:p>
      <w:pPr>
        <w:spacing w:after="120" w:line="300"/>
      </w:pPr>
      <w:r>
        <w:rPr>
          <w:rFonts w:ascii="游明朝" w:cs="游明朝" w:eastAsia="游明朝" w:hAnsi="游明朝"/>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明朝" w:cs="游明朝" w:eastAsia="游明朝" w:hAnsi="游明朝"/>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明朝" w:cs="游明朝" w:eastAsia="游明朝" w:hAnsi="游明朝"/>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spacing w:after="100" w:line="300"/>
      </w:pPr>
      <w:r>
        <w:rPr>
          <w:rFonts w:ascii="游ゴシック" w:cs="游ゴシック" w:eastAsia="游ゴシック" w:hAnsi="游ゴシック"/>
          <w:b/>
          <w:bCs/>
          <w:color w:val="2E75B6"/>
          <w:sz w:val="21"/>
          <w:szCs w:val="21"/>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842"/>
        <w:gridCol w:w="842"/>
        <w:gridCol w:w="842"/>
        <w:gridCol w:w="936"/>
        <w:gridCol w:w="936"/>
        <w:gridCol w:w="1031"/>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872"/>
        <w:gridCol w:w="1872"/>
        <w:gridCol w:w="1498"/>
        <w:gridCol w:w="1498"/>
        <w:gridCol w:w="1497"/>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00" w:line="300"/>
      </w:pPr>
      <w:r>
        <w:rPr>
          <w:rFonts w:ascii="游ゴシック" w:cs="游ゴシック" w:eastAsia="游ゴシック" w:hAnsi="游ゴシック"/>
          <w:b/>
          <w:bCs/>
          <w:color w:val="2E75B6"/>
          <w:sz w:val="21"/>
          <w:szCs w:val="21"/>
        </w:rPr>
        <w:t xml:space="preserve">(10) 推計の不確かさ</w:t>
      </w:r>
    </w:p>
    <w:p>
      <w:pPr>
        <w:spacing w:after="120" w:line="300"/>
      </w:pPr>
      <w:r>
        <w:rPr>
          <w:rFonts w:ascii="游明朝" w:cs="游明朝" w:eastAsia="游明朝" w:hAnsi="游明朝"/>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00" w:line="300"/>
      </w:pPr>
      <w:r>
        <w:rPr>
          <w:rFonts w:ascii="游ゴシック" w:cs="游ゴシック" w:eastAsia="游ゴシック" w:hAnsi="游ゴシック"/>
          <w:b/>
          <w:bCs/>
          <w:color w:val="2E75B6"/>
          <w:sz w:val="21"/>
          <w:szCs w:val="21"/>
        </w:rPr>
        <w:t xml:space="preserve">① 単価の趨勢</w:t>
      </w:r>
    </w:p>
    <w:p>
      <w:pPr>
        <w:spacing w:after="120" w:line="300"/>
      </w:pPr>
      <w:r>
        <w:rPr>
          <w:rFonts w:ascii="游明朝" w:cs="游明朝" w:eastAsia="游明朝" w:hAnsi="游明朝"/>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明朝" w:cs="游明朝" w:eastAsia="游明朝" w:hAnsi="游明朝"/>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434"/>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00" w:line="300"/>
      </w:pPr>
      <w:r>
        <w:rPr>
          <w:rFonts w:ascii="游ゴシック" w:cs="游ゴシック" w:eastAsia="游ゴシック" w:hAnsi="游ゴシック"/>
          <w:b/>
          <w:bCs/>
          <w:color w:val="2E75B6"/>
          <w:sz w:val="21"/>
          <w:szCs w:val="21"/>
        </w:rPr>
        <w:t xml:space="preserve">② サービス別の伸びの偏り</w:t>
      </w:r>
    </w:p>
    <w:p>
      <w:pPr>
        <w:spacing w:after="120" w:line="300"/>
      </w:pPr>
      <w:r>
        <w:rPr>
          <w:rFonts w:ascii="游明朝" w:cs="游明朝" w:eastAsia="游明朝" w:hAnsi="游明朝"/>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明朝" w:cs="游明朝" w:eastAsia="游明朝" w:hAnsi="游明朝"/>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340"/>
        <w:gridCol w:w="1872"/>
        <w:gridCol w:w="2340"/>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00" w:line="300"/>
      </w:pPr>
      <w:r>
        <w:rPr>
          <w:rFonts w:ascii="游ゴシック" w:cs="游ゴシック" w:eastAsia="游ゴシック" w:hAnsi="游ゴシック"/>
          <w:b/>
          <w:bCs/>
          <w:color w:val="2E75B6"/>
          <w:sz w:val="21"/>
          <w:szCs w:val="21"/>
        </w:rPr>
        <w:t xml:space="preserve">③ 推計そのものの誤差</w:t>
      </w:r>
    </w:p>
    <w:p>
      <w:pPr>
        <w:spacing w:after="120" w:line="300"/>
      </w:pPr>
      <w:r>
        <w:rPr>
          <w:rFonts w:ascii="游明朝" w:cs="游明朝" w:eastAsia="游明朝" w:hAnsi="游明朝"/>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591"/>
        <w:gridCol w:w="2059"/>
        <w:gridCol w:w="2059"/>
        <w:gridCol w:w="2060"/>
      </w:tblGrid>
      <w:tr>
        <w:trPr>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spacing w:after="100" w:line="300"/>
      </w:pPr>
      <w:r>
        <w:rPr>
          <w:rFonts w:ascii="游ゴシック" w:cs="游ゴシック" w:eastAsia="游ゴシック" w:hAnsi="游ゴシック"/>
          <w:b/>
          <w:bCs/>
          <w:color w:val="2E75B6"/>
          <w:sz w:val="21"/>
          <w:szCs w:val="21"/>
        </w:rPr>
        <w:t xml:space="preserve">参考　受給者1人あたり利用日数・回数の実績</w:t>
      </w:r>
    </w:p>
    <w:p>
      <w:pPr>
        <w:spacing w:after="120" w:line="300"/>
      </w:pPr>
      <w:r>
        <w:rPr>
          <w:rFonts w:ascii="游明朝" w:cs="游明朝" w:eastAsia="游明朝" w:hAnsi="游明朝"/>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整合する動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地域支援事業の見込み</w:t>
      </w:r>
    </w:p>
    <w:p>
      <w:pPr>
        <w:spacing w:after="100" w:line="300"/>
      </w:pPr>
      <w:r>
        <w:rPr>
          <w:rFonts w:ascii="游ゴシック" w:cs="游ゴシック" w:eastAsia="游ゴシック" w:hAnsi="游ゴシック"/>
          <w:b/>
          <w:bCs/>
          <w:color w:val="2E75B6"/>
          <w:sz w:val="21"/>
          <w:szCs w:val="21"/>
        </w:rPr>
        <w:t xml:space="preserve">(1) 地域支援事業の量の見込み</w:t>
      </w:r>
    </w:p>
    <w:p>
      <w:pPr>
        <w:spacing w:after="120" w:line="300"/>
      </w:pPr>
      <w:r>
        <w:rPr>
          <w:rFonts w:ascii="游明朝" w:cs="游明朝" w:eastAsia="游明朝" w:hAnsi="游明朝"/>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842"/>
        <w:gridCol w:w="842"/>
        <w:gridCol w:w="842"/>
        <w:gridCol w:w="1030"/>
        <w:gridCol w:w="1030"/>
        <w:gridCol w:w="93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「0」は実績がないことを、「―」は村からの実績の提供を受けていないことを示します。</w:t>
      </w:r>
    </w:p>
    <w:p>
      <w:pPr>
        <w:spacing w:after="100" w:line="300"/>
      </w:pPr>
      <w:r>
        <w:rPr>
          <w:rFonts w:ascii="游ゴシック" w:cs="游ゴシック" w:eastAsia="游ゴシック" w:hAnsi="游ゴシック"/>
          <w:b/>
          <w:bCs/>
          <w:color w:val="2E75B6"/>
          <w:sz w:val="21"/>
          <w:szCs w:val="21"/>
        </w:rPr>
        <w:t xml:space="preserve">量の見込みの立て方</w:t>
      </w:r>
    </w:p>
    <w:p>
      <w:pPr>
        <w:spacing w:after="120" w:line="300"/>
      </w:pPr>
      <w:r>
        <w:rPr>
          <w:rFonts w:ascii="游明朝" w:cs="游明朝" w:eastAsia="游明朝" w:hAnsi="游明朝"/>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217"/>
        <w:gridCol w:w="1217"/>
        <w:gridCol w:w="131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明朝" w:cs="游明朝" w:eastAsia="游明朝" w:hAnsi="游明朝"/>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spacing w:after="100" w:line="300"/>
      </w:pPr>
      <w:r>
        <w:rPr>
          <w:rFonts w:ascii="游ゴシック" w:cs="游ゴシック" w:eastAsia="游ゴシック" w:hAnsi="游ゴシック"/>
          <w:b/>
          <w:bCs/>
          <w:color w:val="2E75B6"/>
          <w:sz w:val="21"/>
          <w:szCs w:val="21"/>
        </w:rPr>
        <w:t xml:space="preserve">(2) 地域支援事業費の見込み</w:t>
      </w:r>
    </w:p>
    <w:p>
      <w:pPr>
        <w:spacing w:after="120" w:line="300"/>
      </w:pPr>
      <w:r>
        <w:rPr>
          <w:rFonts w:ascii="游明朝" w:cs="游明朝" w:eastAsia="游明朝" w:hAnsi="游明朝"/>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123"/>
        <w:gridCol w:w="1123"/>
        <w:gridCol w:w="1217"/>
        <w:gridCol w:w="1217"/>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明朝" w:cs="游明朝" w:eastAsia="游明朝" w:hAnsi="游明朝"/>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明朝" w:cs="游明朝" w:eastAsia="游明朝" w:hAnsi="游明朝"/>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標準給付費の見込み</w:t>
      </w:r>
    </w:p>
    <w:p>
      <w:pPr>
        <w:spacing w:after="120" w:line="300"/>
      </w:pPr>
      <w:r>
        <w:rPr>
          <w:rFonts w:ascii="游明朝" w:cs="游明朝" w:eastAsia="游明朝" w:hAnsi="游明朝"/>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310"/>
        <w:gridCol w:w="1310"/>
        <w:gridCol w:w="1310"/>
        <w:gridCol w:w="168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spacing w:after="100" w:line="300"/>
      </w:pPr>
      <w:r>
        <w:rPr>
          <w:rFonts w:ascii="游ゴシック" w:cs="游ゴシック" w:eastAsia="游ゴシック" w:hAnsi="游ゴシック"/>
          <w:b/>
          <w:bCs/>
          <w:color w:val="2E75B6"/>
          <w:sz w:val="21"/>
          <w:szCs w:val="21"/>
        </w:rPr>
        <w:t xml:space="preserve">介護給付費と予防給付費の分離</w:t>
      </w:r>
    </w:p>
    <w:p>
      <w:pPr>
        <w:spacing w:after="120" w:line="300"/>
      </w:pPr>
      <w:r>
        <w:rPr>
          <w:rFonts w:ascii="游明朝" w:cs="游明朝" w:eastAsia="游明朝" w:hAnsi="游明朝"/>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310"/>
        <w:gridCol w:w="1404"/>
        <w:gridCol w:w="1310"/>
        <w:gridCol w:w="1404"/>
        <w:gridCol w:w="1404"/>
        <w:gridCol w:w="1405"/>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明朝" w:cs="游明朝" w:eastAsia="游明朝" w:hAnsi="游明朝"/>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明朝" w:cs="游明朝" w:eastAsia="游明朝" w:hAnsi="游明朝"/>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明朝" w:cs="游明朝" w:eastAsia="游明朝" w:hAnsi="游明朝"/>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令和6年度・令和7年度の決算の提供を受けて置き直します。</w:t>
      </w:r>
    </w:p>
    <w:p>
      <w:pPr>
        <w:spacing w:after="100" w:line="300"/>
      </w:pPr>
      <w:r>
        <w:rPr>
          <w:rFonts w:ascii="游ゴシック" w:cs="游ゴシック" w:eastAsia="游ゴシック" w:hAnsi="游ゴシック"/>
          <w:b/>
          <w:bCs/>
          <w:color w:val="2E75B6"/>
          <w:sz w:val="21"/>
          <w:szCs w:val="21"/>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20" w:line="300"/>
      </w:pPr>
      <w:r>
        <w:rPr>
          <w:rFonts w:ascii="游明朝" w:cs="游明朝" w:eastAsia="游明朝" w:hAnsi="游明朝"/>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00" w:line="300"/>
      </w:pPr>
      <w:r>
        <w:rPr>
          <w:rFonts w:ascii="游ゴシック" w:cs="游ゴシック" w:eastAsia="游ゴシック" w:hAnsi="游ゴシック"/>
          <w:b/>
          <w:bCs/>
          <w:color w:val="2E75B6"/>
          <w:sz w:val="21"/>
          <w:szCs w:val="21"/>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00" w:line="300"/>
      </w:pPr>
      <w:r>
        <w:rPr>
          <w:rFonts w:ascii="游ゴシック" w:cs="游ゴシック" w:eastAsia="游ゴシック" w:hAnsi="游ゴシック"/>
          <w:b/>
          <w:bCs/>
          <w:color w:val="2E75B6"/>
          <w:sz w:val="21"/>
          <w:szCs w:val="21"/>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第1号被保険者の保険料</w:t>
      </w:r>
    </w:p>
    <w:p>
      <w:pPr>
        <w:spacing w:after="100" w:line="300"/>
      </w:pPr>
      <w:r>
        <w:rPr>
          <w:rFonts w:ascii="游ゴシック" w:cs="游ゴシック" w:eastAsia="游ゴシック" w:hAnsi="游ゴシック"/>
          <w:b/>
          <w:bCs/>
          <w:color w:val="2E75B6"/>
          <w:sz w:val="21"/>
          <w:szCs w:val="21"/>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明朝" w:cs="游明朝" w:eastAsia="游明朝" w:hAnsi="游明朝"/>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明朝" w:cs="游明朝" w:eastAsia="游明朝" w:hAnsi="游明朝"/>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1"/>
          <w:szCs w:val="21"/>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1"/>
          <w:szCs w:val="21"/>
        </w:rPr>
        <w:t xml:space="preserve">保険料基準額の算定</w:t>
      </w:r>
    </w:p>
    <w:p>
      <w:pPr>
        <w:spacing w:after="120" w:line="300"/>
      </w:pPr>
      <w:r>
        <w:rPr>
          <w:rFonts w:ascii="游明朝" w:cs="游明朝" w:eastAsia="游明朝" w:hAnsi="游明朝"/>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1"/>
          <w:szCs w:val="21"/>
        </w:rPr>
        <w:t xml:space="preserve">算定の構造</w:t>
      </w:r>
    </w:p>
    <w:p>
      <w:pPr>
        <w:spacing w:after="120" w:line="300"/>
      </w:pPr>
      <w:r>
        <w:rPr>
          <w:rFonts w:ascii="游明朝" w:cs="游明朝" w:eastAsia="游明朝" w:hAnsi="游明朝"/>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621"/>
        <w:gridCol w:w="617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④÷予定保険料収納率÷所得段階別加入割合補正後被保険者数÷12－介護給付費準備基金の取崩しによる軽減額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明朝" w:cs="游明朝" w:eastAsia="游明朝" w:hAnsi="游明朝"/>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明朝" w:cs="游明朝" w:eastAsia="游明朝" w:hAnsi="游明朝"/>
          <w:sz w:val="21"/>
          <w:szCs w:val="21"/>
        </w:rPr>
        <w:t xml:space="preserve">　見込交付割合 ＝（α＋0.05）－ α × F × G</w:t>
      </w:r>
    </w:p>
    <w:p>
      <w:pPr>
        <w:spacing w:after="120" w:line="300"/>
      </w:pPr>
      <w:r>
        <w:rPr>
          <w:rFonts w:ascii="游明朝" w:cs="游明朝" w:eastAsia="游明朝" w:hAnsi="游明朝"/>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00" w:line="300"/>
      </w:pPr>
      <w:r>
        <w:rPr>
          <w:rFonts w:ascii="游ゴシック" w:cs="游ゴシック" w:eastAsia="游ゴシック" w:hAnsi="游ゴシック"/>
          <w:b/>
          <w:bCs/>
          <w:color w:val="2E75B6"/>
          <w:sz w:val="21"/>
          <w:szCs w:val="21"/>
        </w:rPr>
        <w:t xml:space="preserve">算定の構造による第9期の再現</w:t>
      </w:r>
    </w:p>
    <w:p>
      <w:pPr>
        <w:spacing w:after="120" w:line="300"/>
      </w:pPr>
      <w:r>
        <w:rPr>
          <w:rFonts w:ascii="游明朝" w:cs="游明朝" w:eastAsia="游明朝" w:hAnsi="游明朝"/>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340"/>
        <w:gridCol w:w="234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00" w:line="300"/>
      </w:pPr>
      <w:r>
        <w:rPr>
          <w:rFonts w:ascii="游ゴシック" w:cs="游ゴシック" w:eastAsia="游ゴシック" w:hAnsi="游ゴシック"/>
          <w:b/>
          <w:bCs/>
          <w:color w:val="2E75B6"/>
          <w:sz w:val="21"/>
          <w:szCs w:val="21"/>
        </w:rPr>
        <w:t xml:space="preserve">第1号被保険者負担割合（α）</w:t>
      </w:r>
    </w:p>
    <w:p>
      <w:pPr>
        <w:spacing w:after="120" w:line="300"/>
      </w:pPr>
      <w:r>
        <w:rPr>
          <w:rFonts w:ascii="游明朝" w:cs="游明朝" w:eastAsia="游明朝" w:hAnsi="游明朝"/>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明朝" w:cs="游明朝" w:eastAsia="游明朝" w:hAnsi="游明朝"/>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編集注記：第10期の第1号被保険者負担割合を定める政令の公布状況を村に確認します。第2回・第3回策定委員会では23%を本体としつつ24%を併記します。</w:t>
      </w:r>
    </w:p>
    <w:p>
      <w:pPr>
        <w:spacing w:after="100" w:line="300"/>
      </w:pPr>
      <w:r>
        <w:rPr>
          <w:rFonts w:ascii="游ゴシック" w:cs="游ゴシック" w:eastAsia="游ゴシック" w:hAnsi="游ゴシック"/>
          <w:b/>
          <w:bCs/>
          <w:color w:val="2E75B6"/>
          <w:sz w:val="21"/>
          <w:szCs w:val="21"/>
        </w:rPr>
        <w:t xml:space="preserve">感応度</w:t>
      </w:r>
    </w:p>
    <w:p>
      <w:pPr>
        <w:spacing w:after="120" w:line="300"/>
      </w:pPr>
      <w:r>
        <w:rPr>
          <w:rFonts w:ascii="游明朝" w:cs="游明朝" w:eastAsia="游明朝" w:hAnsi="游明朝"/>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明朝" w:cs="游明朝" w:eastAsia="游明朝" w:hAnsi="游明朝"/>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編集注記：上表は令和5年度決算を基礎とした暫定値です。令和6年度・令和7年度の決算と基金残高の提供を受けて確定します。</w:t>
      </w:r>
    </w:p>
    <w:p>
      <w:pPr>
        <w:spacing w:after="100" w:line="300"/>
      </w:pPr>
      <w:r>
        <w:rPr>
          <w:rFonts w:ascii="游ゴシック" w:cs="游ゴシック" w:eastAsia="游ゴシック" w:hAnsi="游ゴシック"/>
          <w:b/>
          <w:bCs/>
          <w:color w:val="2E75B6"/>
          <w:sz w:val="21"/>
          <w:szCs w:val="21"/>
        </w:rPr>
        <w:t xml:space="preserve">年度別の保険料収納必要額</w:t>
      </w:r>
    </w:p>
    <w:p>
      <w:pPr>
        <w:spacing w:after="120" w:line="300"/>
      </w:pPr>
      <w:r>
        <w:rPr>
          <w:rFonts w:ascii="游明朝" w:cs="游明朝" w:eastAsia="游明朝" w:hAnsi="游明朝"/>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591"/>
        <w:gridCol w:w="1404"/>
        <w:gridCol w:w="1310"/>
        <w:gridCol w:w="1498"/>
        <w:gridCol w:w="93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単位：千円（第1号被保険者数・分母・月額を除く）　第1号被保険者負担割合23%・基金の取崩しなしの場合です。</w:t>
      </w:r>
    </w:p>
    <w:p>
      <w:pPr>
        <w:spacing w:after="120" w:line="300"/>
      </w:pPr>
      <w:r>
        <w:rPr>
          <w:rFonts w:ascii="游明朝" w:cs="游明朝" w:eastAsia="游明朝" w:hAnsi="游明朝"/>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3557"/>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spacing w:after="100" w:line="300"/>
      </w:pPr>
      <w:r>
        <w:rPr>
          <w:rFonts w:ascii="游ゴシック" w:cs="游ゴシック" w:eastAsia="游ゴシック" w:hAnsi="游ゴシック"/>
          <w:b/>
          <w:bCs/>
          <w:color w:val="2E75B6"/>
          <w:sz w:val="21"/>
          <w:szCs w:val="21"/>
        </w:rPr>
        <w:t xml:space="preserve">保険料基準額のパターン</w:t>
      </w:r>
    </w:p>
    <w:p>
      <w:pPr>
        <w:spacing w:after="120" w:line="300"/>
      </w:pPr>
      <w:r>
        <w:rPr>
          <w:rFonts w:ascii="游明朝" w:cs="游明朝" w:eastAsia="游明朝" w:hAnsi="游明朝"/>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3557"/>
        <w:gridCol w:w="187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のパターンで5,936円から7,341円まで1,406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20" w:line="300"/>
      </w:pPr>
      <w:r>
        <w:rPr>
          <w:rFonts w:ascii="游明朝" w:cs="游明朝" w:eastAsia="游明朝" w:hAnsi="游明朝"/>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編集注記：令和6年度・令和7年度の決算および基金残高の提供を受けて確定します。</w:t>
      </w:r>
    </w:p>
    <w:p>
      <w:pPr>
        <w:spacing w:after="100" w:line="300"/>
      </w:pPr>
      <w:r>
        <w:rPr>
          <w:rFonts w:ascii="游ゴシック" w:cs="游ゴシック" w:eastAsia="游ゴシック" w:hAnsi="游ゴシック"/>
          <w:b/>
          <w:bCs/>
          <w:color w:val="2E75B6"/>
          <w:sz w:val="21"/>
          <w:szCs w:val="21"/>
        </w:rPr>
        <w:t xml:space="preserve">所得段階の設定</w:t>
      </w:r>
    </w:p>
    <w:p>
      <w:pPr>
        <w:spacing w:after="120" w:line="300"/>
      </w:pPr>
      <w:r>
        <w:rPr>
          <w:rFonts w:ascii="游明朝" w:cs="游明朝" w:eastAsia="游明朝" w:hAnsi="游明朝"/>
          <w:sz w:val="21"/>
          <w:szCs w:val="21"/>
        </w:rPr>
        <w:t xml:space="preserve">所得段階は、国の基準に基づき標準13段階を設定します。</w:t>
      </w:r>
    </w:p>
    <w:p>
      <w:pPr>
        <w:spacing w:after="120" w:line="300"/>
      </w:pPr>
      <w:r>
        <w:rPr>
          <w:rFonts w:ascii="游明朝" w:cs="游明朝" w:eastAsia="游明朝" w:hAnsi="游明朝"/>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出典：令和8年度合計所得金額分布調査</w:t>
      </w:r>
    </w:p>
    <w:p>
      <w:pPr>
        <w:spacing w:after="120" w:line="300"/>
      </w:pPr>
      <w:r>
        <w:rPr>
          <w:rFonts w:ascii="游明朝" w:cs="游明朝" w:eastAsia="游明朝" w:hAnsi="游明朝"/>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明朝" w:cs="游明朝" w:eastAsia="游明朝" w:hAnsi="游明朝"/>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編集注記：各段階の保険料率・保険料月額は、保険料基準額の算定後に記載します。第9期から標準9段階が13段階に多段階化されており、本計画でも13段階を基本とします。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5-8　介護給付適正化計画</w:t>
      </w:r>
    </w:p>
    <w:p>
      <w:pPr>
        <w:spacing w:after="120" w:line="300"/>
      </w:pPr>
      <w:r>
        <w:rPr>
          <w:rFonts w:ascii="游明朝" w:cs="游明朝" w:eastAsia="游明朝" w:hAnsi="游明朝"/>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令和11年度）です。</w:t>
      </w:r>
    </w:p>
    <w:p>
      <w:pPr>
        <w:spacing w:after="120" w:line="300"/>
      </w:pPr>
      <w:r>
        <w:rPr>
          <w:rFonts w:ascii="游明朝" w:cs="游明朝" w:eastAsia="游明朝" w:hAnsi="游明朝"/>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spacing w:after="100" w:line="300"/>
      </w:pPr>
      <w:r>
        <w:rPr>
          <w:rFonts w:ascii="游ゴシック" w:cs="游ゴシック" w:eastAsia="游ゴシック" w:hAnsi="游ゴシック"/>
          <w:b/>
          <w:bCs/>
          <w:color w:val="2E75B6"/>
          <w:sz w:val="21"/>
          <w:szCs w:val="21"/>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123"/>
        <w:gridCol w:w="2808"/>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毎年度【要設定】件</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明朝" w:cs="游明朝" w:eastAsia="游明朝" w:hAnsi="游明朝"/>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明朝" w:cs="游明朝" w:eastAsia="游明朝" w:hAnsi="游明朝"/>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00" w:line="300"/>
      </w:pPr>
      <w:r>
        <w:rPr>
          <w:rFonts w:ascii="游ゴシック" w:cs="游ゴシック" w:eastAsia="游ゴシック" w:hAnsi="游ゴシック"/>
          <w:b/>
          <w:bCs/>
          <w:color w:val="2E75B6"/>
          <w:sz w:val="21"/>
          <w:szCs w:val="21"/>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808"/>
        <w:gridCol w:w="2621"/>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00" w:line="300"/>
      </w:pPr>
      <w:r>
        <w:rPr>
          <w:rFonts w:ascii="游ゴシック" w:cs="游ゴシック" w:eastAsia="游ゴシック" w:hAnsi="游ゴシック"/>
          <w:b/>
          <w:bCs/>
          <w:color w:val="2E75B6"/>
          <w:sz w:val="21"/>
          <w:szCs w:val="21"/>
        </w:rPr>
        <w:t xml:space="preserve">(3) 財政調整交付金の算定への影響</w:t>
      </w:r>
    </w:p>
    <w:p>
      <w:pPr>
        <w:spacing w:after="120" w:line="300"/>
      </w:pPr>
      <w:r>
        <w:rPr>
          <w:rFonts w:ascii="游明朝" w:cs="游明朝" w:eastAsia="游明朝" w:hAnsi="游明朝"/>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明朝" w:cs="游明朝" w:eastAsia="游明朝" w:hAnsi="游明朝"/>
          <w:sz w:val="21"/>
          <w:szCs w:val="21"/>
        </w:rPr>
        <w:t xml:space="preserve">本村は、令和8年度の評価において「主要3事業のすべてを実施している」ことを問う指標が0点です（(1)）。縦覧点検・医療情報との突合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808"/>
        <w:gridCol w:w="2434"/>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令和8年度の評価で0点（①または②が未実施の可能性）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上記の据え置きを前提に月額6,756円と算定（5-7）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勘案の方法と程度は公表されていないため、実際にどの程度反映されるかは確かめられていません。県に対し、調整交付金の算定方法と主要3事業の取組状況の勘案の有無・程度、および本村の交付割合の見通しを照会する必要があります。照会の結果が出るまでは、5-7のとおり第9期から復元した交付割合を据え置いて算定します。指針の該当箇所（第二の(2)④）については原文の再確認を要します。</w:t>
      </w:r>
    </w:p>
    <w:p>
      <w:pPr>
        <w:spacing w:after="100" w:line="300"/>
      </w:pPr>
      <w:r>
        <w:rPr>
          <w:rFonts w:ascii="游ゴシック" w:cs="游ゴシック" w:eastAsia="游ゴシック" w:hAnsi="游ゴシック"/>
          <w:b/>
          <w:bCs/>
          <w:color w:val="2E75B6"/>
          <w:sz w:val="21"/>
          <w:szCs w:val="21"/>
        </w:rPr>
        <w:t xml:space="preserve">(4) 介護SCRの活用</w:t>
      </w:r>
    </w:p>
    <w:p>
      <w:pPr>
        <w:spacing w:after="120" w:line="300"/>
      </w:pPr>
      <w:r>
        <w:rPr>
          <w:rFonts w:ascii="游明朝" w:cs="游明朝" w:eastAsia="游明朝" w:hAnsi="游明朝"/>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明朝" w:cs="游明朝" w:eastAsia="游明朝" w:hAnsi="游明朝"/>
          <w:sz w:val="21"/>
          <w:szCs w:val="21"/>
        </w:rPr>
        <w:t xml:space="preserve">本村は給付費の58.7%が村外のサービスによるものであり（2-5）、村内の事業所は2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spacing w:after="120" w:line="300"/>
      </w:pPr>
      <w:r>
        <w:rPr>
          <w:rFonts w:ascii="游明朝" w:cs="游明朝" w:eastAsia="游明朝" w:hAnsi="游明朝"/>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5-9　保険者機能強化推進交付金等の活用</w:t>
      </w:r>
    </w:p>
    <w:p>
      <w:pPr>
        <w:spacing w:after="120" w:line="300"/>
      </w:pPr>
      <w:r>
        <w:rPr>
          <w:rFonts w:ascii="游明朝" w:cs="游明朝" w:eastAsia="游明朝" w:hAnsi="游明朝"/>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spacing w:after="100" w:line="300"/>
      </w:pPr>
      <w:r>
        <w:rPr>
          <w:rFonts w:ascii="游ゴシック" w:cs="游ゴシック" w:eastAsia="游ゴシック" w:hAnsi="游ゴシック"/>
          <w:b/>
          <w:bCs/>
          <w:color w:val="2E75B6"/>
          <w:sz w:val="21"/>
          <w:szCs w:val="21"/>
        </w:rPr>
        <w:t xml:space="preserve">(1) 交付見込額</w:t>
      </w:r>
    </w:p>
    <w:p>
      <w:pPr>
        <w:spacing w:after="120" w:line="300"/>
      </w:pPr>
      <w:r>
        <w:rPr>
          <w:rFonts w:ascii="游明朝" w:cs="游明朝" w:eastAsia="游明朝" w:hAnsi="游明朝"/>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spacing w:after="100" w:line="300"/>
      </w:pPr>
      <w:r>
        <w:rPr>
          <w:rFonts w:ascii="游ゴシック" w:cs="游ゴシック" w:eastAsia="游ゴシック" w:hAnsi="游ゴシック"/>
          <w:b/>
          <w:bCs/>
          <w:color w:val="2E75B6"/>
          <w:sz w:val="21"/>
          <w:szCs w:val="21"/>
        </w:rPr>
        <w:t xml:space="preserve">(2) 評価結果の状況</w:t>
      </w:r>
    </w:p>
    <w:p>
      <w:pPr>
        <w:spacing w:after="120" w:line="300"/>
      </w:pPr>
      <w:r>
        <w:rPr>
          <w:rFonts w:ascii="游明朝" w:cs="游明朝" w:eastAsia="游明朝" w:hAnsi="游明朝"/>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872"/>
        <w:gridCol w:w="1872"/>
        <w:gridCol w:w="2059"/>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明朝" w:cs="游明朝" w:eastAsia="游明朝" w:hAnsi="游明朝"/>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5-10　低所得者への対応</w:t>
      </w:r>
    </w:p>
    <w:p>
      <w:pPr>
        <w:spacing w:after="120" w:line="300"/>
      </w:pPr>
      <w:r>
        <w:rPr>
          <w:rFonts w:ascii="游明朝" w:cs="游明朝" w:eastAsia="游明朝" w:hAnsi="游明朝"/>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明朝" w:cs="游明朝" w:eastAsia="游明朝" w:hAnsi="游明朝"/>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明朝" w:cs="游明朝" w:eastAsia="游明朝" w:hAnsi="游明朝"/>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5-11　令和22年度（2040年度）を見据えた見通し</w:t>
      </w:r>
    </w:p>
    <w:p>
      <w:pPr>
        <w:spacing w:after="120" w:line="300"/>
      </w:pPr>
      <w:r>
        <w:rPr>
          <w:rFonts w:ascii="游明朝" w:cs="游明朝" w:eastAsia="游明朝" w:hAnsi="游明朝"/>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00" w:line="300"/>
      </w:pPr>
      <w:r>
        <w:rPr>
          <w:rFonts w:ascii="游ゴシック" w:cs="游ゴシック" w:eastAsia="游ゴシック" w:hAnsi="游ゴシック"/>
          <w:b/>
          <w:bCs/>
          <w:color w:val="2E75B6"/>
          <w:sz w:val="21"/>
          <w:szCs w:val="21"/>
        </w:rPr>
        <w:t xml:space="preserve">中長期の見込量・給付費・保険料</w:t>
      </w:r>
    </w:p>
    <w:p>
      <w:pPr>
        <w:spacing w:after="120" w:line="300"/>
      </w:pPr>
      <w:r>
        <w:rPr>
          <w:rFonts w:ascii="游明朝" w:cs="游明朝" w:eastAsia="游明朝" w:hAnsi="游明朝"/>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明朝" w:cs="游明朝" w:eastAsia="游明朝" w:hAnsi="游明朝"/>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明朝" w:cs="游明朝" w:eastAsia="游明朝" w:hAnsi="游明朝"/>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明朝" w:cs="游明朝" w:eastAsia="游明朝" w:hAnsi="游明朝"/>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明朝" w:cs="游明朝" w:eastAsia="游明朝" w:hAnsi="游明朝"/>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00" w:line="300"/>
      </w:pPr>
      <w:r>
        <w:rPr>
          <w:rFonts w:ascii="游ゴシック" w:cs="游ゴシック" w:eastAsia="游ゴシック" w:hAnsi="游ゴシック"/>
          <w:b/>
          <w:bCs/>
          <w:color w:val="2E75B6"/>
          <w:sz w:val="21"/>
          <w:szCs w:val="21"/>
        </w:rPr>
        <w:t xml:space="preserve">保険料基準額の見通し（αの2案）</w:t>
      </w:r>
    </w:p>
    <w:p>
      <w:pPr>
        <w:spacing w:after="120" w:line="300"/>
      </w:pPr>
      <w:r>
        <w:rPr>
          <w:rFonts w:ascii="游明朝" w:cs="游明朝" w:eastAsia="游明朝" w:hAnsi="游明朝"/>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1498"/>
        <w:gridCol w:w="1498"/>
        <w:gridCol w:w="149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明朝" w:cs="游明朝" w:eastAsia="游明朝" w:hAnsi="游明朝"/>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5-12　現時点で据え置いた項目と確定の条件</w:t>
      </w:r>
    </w:p>
    <w:p>
      <w:pPr>
        <w:spacing w:after="120" w:line="300"/>
      </w:pPr>
      <w:r>
        <w:rPr>
          <w:rFonts w:ascii="游明朝" w:cs="游明朝" w:eastAsia="游明朝" w:hAnsi="游明朝"/>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spacing w:after="100" w:line="300"/>
      </w:pPr>
      <w:r>
        <w:rPr>
          <w:rFonts w:ascii="游ゴシック" w:cs="游ゴシック" w:eastAsia="游ゴシック" w:hAnsi="游ゴシック"/>
          <w:b/>
          <w:bCs/>
          <w:color w:val="2E75B6"/>
          <w:sz w:val="21"/>
          <w:szCs w:val="21"/>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国の推計ワークシート、および県への照会（主要3事業の取組状況の勘案・5-8(3)）</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推計ワークシートの提供を受けた時点で、次の5点を確認したうえで入力します。①所得段階別の第1号被保険者数を13段階すべて登録しないと保険料基準額が算定されないこと。②保険料段階の設定が標準の段階区分によるものか弾力化によるものかを、村の条例の乗率と突き合わせて決めること（条例で標準と異なる乗率を用いている場合は弾力化としての登録が必要です）。③補正係数（F・G）は国の式により検算できるため、5-7で復元した値との差を確かめること。④地域支援事業費・その他給付費・介護給付費準備基金・予定保険料収納率は、入力しなければ保険料に反映されないこと。⑤ワーニングの発生状況を一覧で確認し、利用者数を0としているサービスに由来するものと、入力の誤りによるものを区別すること。あわせて、ワークシートは推計のパターン名が同じでも出力の日付により内容が変わり得るため、パターン名と出力日を記録し、資料を差し替える際に取り違えないようにします。</w:t>
      </w:r>
    </w:p>
    <w:p>
      <w:pPr>
        <w:spacing w:after="100" w:line="300"/>
      </w:pPr>
      <w:r>
        <w:rPr>
          <w:rFonts w:ascii="游ゴシック" w:cs="游ゴシック" w:eastAsia="游ゴシック" w:hAnsi="游ゴシック"/>
          <w:b/>
          <w:bCs/>
          <w:color w:val="2E75B6"/>
          <w:sz w:val="21"/>
          <w:szCs w:val="21"/>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推進体制</w:t>
      </w:r>
    </w:p>
    <w:p>
      <w:pPr>
        <w:spacing w:after="120" w:line="300"/>
      </w:pPr>
      <w:r>
        <w:rPr>
          <w:rFonts w:ascii="游明朝" w:cs="游明朝" w:eastAsia="游明朝" w:hAnsi="游明朝"/>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進捗管理の仕組み</w:t>
      </w:r>
    </w:p>
    <w:p>
      <w:pPr>
        <w:spacing w:after="120" w:line="300"/>
      </w:pPr>
      <w:r>
        <w:rPr>
          <w:rFonts w:ascii="游明朝" w:cs="游明朝" w:eastAsia="游明朝" w:hAnsi="游明朝"/>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成果目標及び活動指標</w:t>
      </w:r>
    </w:p>
    <w:p>
      <w:pPr>
        <w:spacing w:after="120" w:line="300"/>
      </w:pPr>
      <w:r>
        <w:rPr>
          <w:rFonts w:ascii="游明朝" w:cs="游明朝" w:eastAsia="游明朝" w:hAnsi="游明朝"/>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明朝" w:cs="游明朝" w:eastAsia="游明朝" w:hAnsi="游明朝"/>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明朝" w:cs="游明朝" w:eastAsia="游明朝" w:hAnsi="游明朝"/>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182"/>
        <w:gridCol w:w="1872"/>
        <w:gridCol w:w="1310"/>
        <w:gridCol w:w="936"/>
        <w:gridCol w:w="1124"/>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明朝" w:cs="游明朝" w:eastAsia="游明朝" w:hAnsi="游明朝"/>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00" w:line="300"/>
      </w:pPr>
      <w:r>
        <w:rPr>
          <w:rFonts w:ascii="游ゴシック" w:cs="游ゴシック" w:eastAsia="游ゴシック" w:hAnsi="游ゴシック"/>
          <w:b/>
          <w:bCs/>
          <w:color w:val="2E75B6"/>
          <w:sz w:val="21"/>
          <w:szCs w:val="21"/>
        </w:rPr>
        <w:t xml:space="preserve">計画への記載により取得をめざす評価指標</w:t>
      </w:r>
    </w:p>
    <w:p>
      <w:pPr>
        <w:spacing w:after="120" w:line="300"/>
      </w:pPr>
      <w:r>
        <w:rPr>
          <w:rFonts w:ascii="游明朝" w:cs="游明朝" w:eastAsia="游明朝" w:hAnsi="游明朝"/>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842"/>
        <w:gridCol w:w="1123"/>
        <w:gridCol w:w="1030"/>
        <w:gridCol w:w="2247"/>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計画値と実績値の乖離の検証</w:t>
      </w:r>
    </w:p>
    <w:p>
      <w:pPr>
        <w:spacing w:after="120" w:line="300"/>
      </w:pPr>
      <w:r>
        <w:rPr>
          <w:rFonts w:ascii="游明朝" w:cs="游明朝" w:eastAsia="游明朝" w:hAnsi="游明朝"/>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00" w:line="300"/>
      </w:pPr>
      <w:r>
        <w:rPr>
          <w:rFonts w:ascii="游ゴシック" w:cs="游ゴシック" w:eastAsia="游ゴシック" w:hAnsi="游ゴシック"/>
          <w:b/>
          <w:bCs/>
          <w:color w:val="2E75B6"/>
          <w:sz w:val="21"/>
          <w:szCs w:val="21"/>
        </w:rPr>
        <w:t xml:space="preserve">給付適正化と交付金評価の進捗管理</w:t>
      </w:r>
    </w:p>
    <w:p>
      <w:pPr>
        <w:spacing w:after="120" w:line="300"/>
      </w:pPr>
      <w:r>
        <w:rPr>
          <w:rFonts w:ascii="游明朝" w:cs="游明朝" w:eastAsia="游明朝" w:hAnsi="游明朝"/>
          <w:sz w:val="21"/>
          <w:szCs w:val="21"/>
        </w:rPr>
        <w:t xml:space="preserve">上表の4項目に加えて、次の2つを毎年度の検証の対象とします。いずれも6-3の成果目標・活動指標と一体のものです。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434"/>
        <w:gridCol w:w="318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見直しの目安</w:t>
      </w:r>
    </w:p>
    <w:p>
      <w:pPr>
        <w:spacing w:after="120" w:line="300"/>
      </w:pPr>
      <w:r>
        <w:rPr>
          <w:rFonts w:ascii="游明朝" w:cs="游明朝" w:eastAsia="游明朝" w:hAnsi="游明朝"/>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計画の見直し</w:t>
      </w:r>
    </w:p>
    <w:p>
      <w:pPr>
        <w:spacing w:after="120" w:line="300"/>
      </w:pPr>
      <w:r>
        <w:rPr>
          <w:rFonts w:ascii="游明朝" w:cs="游明朝" w:eastAsia="游明朝" w:hAnsi="游明朝"/>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明朝" w:cs="游明朝" w:eastAsia="游明朝" w:hAnsi="游明朝"/>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3370"/>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資1　計画の策定経過</w:t>
      </w:r>
    </w:p>
    <w:p>
      <w:pPr>
        <w:spacing w:after="120" w:line="300"/>
      </w:pPr>
      <w:r>
        <w:rPr>
          <w:rFonts w:ascii="游明朝" w:cs="游明朝" w:eastAsia="游明朝" w:hAnsi="游明朝"/>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編集注記：第1回策定委員会は本業務の受託前に開催されています。空欄の日付は確定後に記入します。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資2　北塩原村高齢者福祉計画・介護保険事業計画策定委員会</w:t>
      </w:r>
    </w:p>
    <w:p>
      <w:pPr>
        <w:spacing w:after="100" w:line="300"/>
      </w:pPr>
      <w:r>
        <w:rPr>
          <w:rFonts w:ascii="游ゴシック" w:cs="游ゴシック" w:eastAsia="游ゴシック" w:hAnsi="游ゴシック"/>
          <w:b/>
          <w:bCs/>
          <w:color w:val="2E75B6"/>
          <w:sz w:val="21"/>
          <w:szCs w:val="21"/>
        </w:rPr>
        <w:t xml:space="preserve">設置の根拠</w:t>
      </w:r>
    </w:p>
    <w:p>
      <w:pPr>
        <w:spacing w:after="120" w:line="300"/>
      </w:pPr>
      <w:r>
        <w:rPr>
          <w:rFonts w:ascii="游明朝" w:cs="游明朝" w:eastAsia="游明朝" w:hAnsi="游明朝"/>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spacing w:after="100" w:line="300"/>
      </w:pPr>
      <w:r>
        <w:rPr>
          <w:rFonts w:ascii="游ゴシック" w:cs="游ゴシック" w:eastAsia="游ゴシック" w:hAnsi="游ゴシック"/>
          <w:b/>
          <w:bCs/>
          <w:color w:val="2E75B6"/>
          <w:sz w:val="21"/>
          <w:szCs w:val="21"/>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spacing w:after="100" w:line="300"/>
      </w:pPr>
      <w:r>
        <w:rPr>
          <w:rFonts w:ascii="游ゴシック" w:cs="游ゴシック" w:eastAsia="游ゴシック" w:hAnsi="游ゴシック"/>
          <w:b/>
          <w:bCs/>
          <w:color w:val="2E75B6"/>
          <w:sz w:val="21"/>
          <w:szCs w:val="21"/>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資3　アンケート調査の概要</w:t>
      </w:r>
    </w:p>
    <w:p>
      <w:pPr>
        <w:spacing w:after="120" w:line="300"/>
      </w:pPr>
      <w:r>
        <w:rPr>
          <w:rFonts w:ascii="游明朝" w:cs="游明朝" w:eastAsia="游明朝" w:hAnsi="游明朝"/>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編集注記：回収数・有効回収率は集計後に記入します。ニーズ調査は国の「介護予防・日常生活圏域ニーズ調査 実施の手引き」（令和7年8月版）の必須35問を用いています。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編集注記：パブリックコメントの実施後に記入します。行数は意見件数に応じて調整します。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資5　用語の解説</w:t>
      </w:r>
    </w:p>
    <w:p>
      <w:pPr>
        <w:spacing w:after="120" w:line="300"/>
      </w:pPr>
      <w:r>
        <w:rPr>
          <w:rFonts w:ascii="游明朝" w:cs="游明朝" w:eastAsia="游明朝" w:hAnsi="游明朝"/>
          <w:sz w:val="21"/>
          <w:szCs w:val="21"/>
        </w:rPr>
        <w:t xml:space="preserve">本計画で用いている用語のうち、説明を要するものを50音順に整理しました。</w:t>
      </w:r>
    </w:p>
    <w:p>
      <w:pPr>
        <w:spacing w:after="100" w:line="300"/>
      </w:pPr>
      <w:r>
        <w:rPr>
          <w:rFonts w:ascii="游ゴシック" w:cs="游ゴシック" w:eastAsia="游ゴシック" w:hAnsi="游ゴシック"/>
          <w:b/>
          <w:bCs/>
          <w:color w:val="2E75B6"/>
          <w:sz w:val="21"/>
          <w:szCs w:val="21"/>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縦覧点検・医療情報との突合を「主要3事業」としています（令和5年9月12日の指針による名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編集注記：計画本文に用語が追加された場合は、本表にも追加します。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c3c48967509463a29e6daa30a6d92f409a15ad.png"/><Relationship Id="rId10" Type="http://schemas.openxmlformats.org/officeDocument/2006/relationships/image" Target="media/13e303415dd1c9bc2b332016888059a75bb3f059.png"/><Relationship Id="rId11" Type="http://schemas.openxmlformats.org/officeDocument/2006/relationships/image" Target="media/45efd3747b14115aaf7908a6f809403c8ca7c427.png"/><Relationship Id="rId12" Type="http://schemas.openxmlformats.org/officeDocument/2006/relationships/image" Target="media/cb895670f0fa71ba5bd523bbc304700bf2d2ab3a.png"/><Relationship Id="rId13" Type="http://schemas.openxmlformats.org/officeDocument/2006/relationships/image" Target="media/788dd9f6bd18731b957957aaacc54965fc1345ce.png"/><Relationship Id="rId14" Type="http://schemas.openxmlformats.org/officeDocument/2006/relationships/image" Target="media/30015de9a9a2c69a85a12346d16f5fe8a9616bc9.png"/><Relationship Id="rId15" Type="http://schemas.openxmlformats.org/officeDocument/2006/relationships/image" Target="media/c905f26a00489c403b023eec2d7d29dab0feb22e.png"/><Relationship Id="rId16" Type="http://schemas.openxmlformats.org/officeDocument/2006/relationships/image" Target="media/a77625c957044497e4972c04b97a5031c95839ff.png"/><Relationship Id="rId17" Type="http://schemas.openxmlformats.org/officeDocument/2006/relationships/image" Target="media/47456ab8e1587b2158f804ae4a5dd89c97ec8ac0.png"/><Relationship Id="rId18" Type="http://schemas.openxmlformats.org/officeDocument/2006/relationships/image" Target="media/afdc490630de558207300f1fde30cf30fd63c14e.png"/><Relationship Id="rId19" Type="http://schemas.openxmlformats.org/officeDocument/2006/relationships/image" Target="media/6f742d990909ee065d846636e342db4fa6e5c0fe.png"/><Relationship Id="rId20" Type="http://schemas.openxmlformats.org/officeDocument/2006/relationships/image" Target="media/6831171d52e1aa4fb7ab7ff7b6a6fe47d9d1a4ce.png"/><Relationship Id="rId21" Type="http://schemas.openxmlformats.org/officeDocument/2006/relationships/image" Target="media/17b8800ae8e43331cb35c24e12c2e0ac9379cd45.png"/><Relationship Id="rId22" Type="http://schemas.openxmlformats.org/officeDocument/2006/relationships/image" Target="media/f9127a001d161409d136306dc37f569834c9c4e2.png"/><Relationship Id="rId23" Type="http://schemas.openxmlformats.org/officeDocument/2006/relationships/image" Target="media/3002b7cceeb542b48b5f53ce36301376c4c65499.png"/><Relationship Id="rId24" Type="http://schemas.openxmlformats.org/officeDocument/2006/relationships/image" Target="media/ad1ce5e2009e1c21d16182b395c0c1077f365d4c.png"/><Relationship Id="rId25" Type="http://schemas.openxmlformats.org/officeDocument/2006/relationships/image" Target="media/c2ea5ed8f543721031ca0ed4f864e6cb46859e88.png"/><Relationship Id="rId26" Type="http://schemas.openxmlformats.org/officeDocument/2006/relationships/image" Target="media/8c679676851485b3ad3624d7f340f2549c062cfc.png"/><Relationship Id="rId27" Type="http://schemas.openxmlformats.org/officeDocument/2006/relationships/image" Target="media/8ea9866f637acf102d5973ef341b3332309006b7.png"/><Relationship Id="rId28" Type="http://schemas.openxmlformats.org/officeDocument/2006/relationships/image" Target="media/7ec526198e3bf27f3c5b3281ec6a4ebc8928e2f3.png"/><Relationship Id="rId29" Type="http://schemas.openxmlformats.org/officeDocument/2006/relationships/image" Target="media/3d06d96bb60823e61760997b4189c5da52e8b50c.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2026-09-28T12:23:00.176Z</dcterms:created>
  <dcterms:modified xsi:type="dcterms:W3CDTF">2026-09-28T12:23:00.176Z</dcterms:modified>
</cp:coreProperties>
</file>

<file path=docProps/custom.xml><?xml version="1.0" encoding="utf-8"?>
<Properties xmlns="http://schemas.openxmlformats.org/officeDocument/2006/custom-properties" xmlns:vt="http://schemas.openxmlformats.org/officeDocument/2006/docPropsVTypes"/>
</file>