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明朝" w:cs="游明朝" w:eastAsia="游明朝" w:hAnsi="游明朝"/>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明朝" w:cs="游明朝" w:eastAsia="游明朝" w:hAnsi="游明朝"/>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明朝" w:cs="游明朝" w:eastAsia="游明朝" w:hAnsi="游明朝"/>
          <w:sz w:val="21"/>
          <w:szCs w:val="21"/>
        </w:rPr>
        <w:t xml:space="preserve"/>
      </w:r>
    </w:p>
    <w:p>
      <w:pPr>
        <w:spacing w:after="180" w:line="300"/>
      </w:pPr>
      <w:r>
        <w:rPr>
          <w:rFonts w:ascii="游明朝" w:cs="游明朝" w:eastAsia="游明朝" w:hAnsi="游明朝"/>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明朝" w:cs="游明朝" w:eastAsia="游明朝" w:hAnsi="游明朝"/>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680"/>
        <w:gridCol w:w="1498"/>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本日ご議論いただきたい事項</w:t>
      </w:r>
    </w:p>
    <w:p>
      <w:pPr>
        <w:spacing w:after="120" w:line="300"/>
      </w:pPr>
      <w:r>
        <w:rPr>
          <w:rFonts w:ascii="游明朝" w:cs="游明朝" w:eastAsia="游明朝" w:hAnsi="游明朝"/>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493"/>
        <w:gridCol w:w="1685"/>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「保険料への効き」は、その判断によって第10期の介護保険料の基準額（月額）がどの程度動くかを示したものである。判断の重みの目安としてご覧いただきたい。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委員名簿</w:t>
      </w:r>
    </w:p>
    <w:p>
      <w:pPr>
        <w:spacing w:after="120" w:line="300"/>
      </w:pPr>
      <w:r>
        <w:rPr>
          <w:rFonts w:ascii="游明朝" w:cs="游明朝" w:eastAsia="游明朝" w:hAnsi="游明朝"/>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936"/>
        <w:gridCol w:w="2246"/>
        <w:gridCol w:w="374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座席表</w:t>
      </w:r>
    </w:p>
    <w:p>
      <w:pPr>
        <w:spacing w:after="120" w:line="300"/>
      </w:pPr>
      <w:r>
        <w:rPr>
          <w:rFonts w:ascii="游明朝" w:cs="游明朝" w:eastAsia="游明朝" w:hAnsi="游明朝"/>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委員長・副委員長は本日の委員会で選出されるため、席は「委員長」「副委員長」の表示にとどめ、氏名は当日に記入するか表示しない。会場・配置は村がお決めになる。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936"/>
        <w:gridCol w:w="280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約97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頁数は目安である。資料2から資料8および別冊は、開催の1週間前までに事前送付する。別冊の素案は分量があるため、当日は資料4から資料7により要点をご説明する。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第9期計画の概要</w:t>
      </w:r>
    </w:p>
    <w:p>
      <w:pPr>
        <w:spacing w:after="120" w:line="300"/>
      </w:pPr>
      <w:r>
        <w:rPr>
          <w:rFonts w:ascii="游明朝" w:cs="游明朝" w:eastAsia="游明朝" w:hAnsi="游明朝"/>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施策の達成状況</w:t>
      </w:r>
    </w:p>
    <w:p>
      <w:pPr>
        <w:spacing w:after="120" w:line="300"/>
      </w:pPr>
      <w:r>
        <w:rPr>
          <w:rFonts w:ascii="游明朝" w:cs="游明朝" w:eastAsia="游明朝" w:hAnsi="游明朝"/>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計画値と実績の乖離</w:t>
      </w:r>
    </w:p>
    <w:p>
      <w:pPr>
        <w:spacing w:after="120" w:line="300"/>
      </w:pPr>
      <w:r>
        <w:rPr>
          <w:rFonts w:ascii="游明朝" w:cs="游明朝" w:eastAsia="游明朝" w:hAnsi="游明朝"/>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1"/>
          <w:szCs w:val="21"/>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1"/>
          <w:szCs w:val="21"/>
        </w:rPr>
        <w:t xml:space="preserve">(2) 要介護度別では大きくずれています</w:t>
      </w:r>
    </w:p>
    <w:p>
      <w:pPr>
        <w:spacing w:after="120" w:line="300"/>
      </w:pPr>
      <w:r>
        <w:rPr>
          <w:rFonts w:ascii="游明朝" w:cs="游明朝" w:eastAsia="游明朝" w:hAnsi="游明朝"/>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1"/>
          <w:szCs w:val="21"/>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明朝" w:cs="游明朝" w:eastAsia="游明朝" w:hAnsi="游明朝"/>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保険者機能の評価</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1"/>
          <w:szCs w:val="21"/>
        </w:rPr>
        <w:t xml:space="preserve">目標別にみると</w:t>
      </w:r>
    </w:p>
    <w:p>
      <w:pPr>
        <w:spacing w:after="120" w:line="300"/>
      </w:pPr>
      <w:r>
        <w:rPr>
          <w:rFonts w:ascii="游明朝" w:cs="游明朝" w:eastAsia="游明朝" w:hAnsi="游明朝"/>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749"/>
        <w:gridCol w:w="936"/>
        <w:gridCol w:w="1123"/>
        <w:gridCol w:w="1123"/>
        <w:gridCol w:w="1872"/>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spacing w:after="100" w:line="300"/>
      </w:pPr>
      <w:r>
        <w:rPr>
          <w:rFonts w:ascii="游ゴシック" w:cs="游ゴシック" w:eastAsia="游ゴシック" w:hAnsi="游ゴシック"/>
          <w:b/>
          <w:bCs/>
          <w:color w:val="2E75B6"/>
          <w:sz w:val="21"/>
          <w:szCs w:val="21"/>
        </w:rPr>
        <w:t xml:space="preserve">福島県の評価と重ねると</w:t>
      </w:r>
    </w:p>
    <w:p>
      <w:pPr>
        <w:spacing w:after="120" w:line="300"/>
      </w:pPr>
      <w:r>
        <w:rPr>
          <w:rFonts w:ascii="游明朝" w:cs="游明朝" w:eastAsia="游明朝" w:hAnsi="游明朝"/>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310"/>
        <w:gridCol w:w="1310"/>
        <w:gridCol w:w="280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spacing w:after="100" w:line="300"/>
      </w:pPr>
      <w:r>
        <w:rPr>
          <w:rFonts w:ascii="游ゴシック" w:cs="游ゴシック" w:eastAsia="游ゴシック" w:hAnsi="游ゴシック"/>
          <w:b/>
          <w:bCs/>
          <w:color w:val="2E75B6"/>
          <w:sz w:val="21"/>
          <w:szCs w:val="21"/>
        </w:rPr>
        <w:t xml:space="preserve">成果指標群（目標Ⅳ）は令和8年度に低下しました</w:t>
      </w:r>
    </w:p>
    <w:p>
      <w:pPr>
        <w:spacing w:after="120" w:line="300"/>
      </w:pPr>
      <w:r>
        <w:rPr>
          <w:rFonts w:ascii="游明朝" w:cs="游明朝" w:eastAsia="游明朝" w:hAnsi="游明朝"/>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第9期の課題（要約）</w:t>
      </w:r>
    </w:p>
    <w:p>
      <w:pPr>
        <w:spacing w:after="120" w:line="300"/>
      </w:pPr>
      <w:r>
        <w:rPr>
          <w:rFonts w:ascii="游明朝" w:cs="游明朝" w:eastAsia="游明朝" w:hAnsi="游明朝"/>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明朝" w:cs="游明朝" w:eastAsia="游明朝" w:hAnsi="游明朝"/>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明朝" w:cs="游明朝" w:eastAsia="游明朝" w:hAnsi="游明朝"/>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931"/>
        <w:gridCol w:w="337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地区別の回収状況</w:t>
      </w:r>
    </w:p>
    <w:p>
      <w:pPr>
        <w:spacing w:after="120" w:line="300"/>
      </w:pPr>
      <w:r>
        <w:rPr>
          <w:rFonts w:ascii="游明朝" w:cs="游明朝" w:eastAsia="游明朝" w:hAnsi="游明朝"/>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498"/>
        <w:gridCol w:w="1498"/>
        <w:gridCol w:w="3556"/>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対象者の属性（回収の偏りを見るための基準）</w:t>
      </w:r>
    </w:p>
    <w:p>
      <w:pPr>
        <w:spacing w:after="120" w:line="300"/>
      </w:pPr>
      <w:r>
        <w:rPr>
          <w:rFonts w:ascii="游明朝" w:cs="游明朝" w:eastAsia="游明朝" w:hAnsi="游明朝"/>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650"/>
        <w:gridCol w:w="365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spacing w:after="100" w:line="300"/>
      </w:pPr>
      <w:r>
        <w:rPr>
          <w:rFonts w:ascii="游ゴシック" w:cs="游ゴシック" w:eastAsia="游ゴシック" w:hAnsi="游ゴシック"/>
          <w:b/>
          <w:bCs/>
          <w:color w:val="2E75B6"/>
          <w:sz w:val="21"/>
          <w:szCs w:val="21"/>
        </w:rPr>
        <w:t xml:space="preserve">回答方法別の状況（第10期の新規）</w:t>
      </w:r>
    </w:p>
    <w:p>
      <w:pPr>
        <w:spacing w:after="120" w:line="300"/>
      </w:pPr>
      <w:r>
        <w:rPr>
          <w:rFonts w:ascii="游明朝" w:cs="游明朝" w:eastAsia="游明朝" w:hAnsi="游明朝"/>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生活機能からみた高齢者の姿</w:t>
      </w:r>
    </w:p>
    <w:p>
      <w:pPr>
        <w:spacing w:after="120" w:line="300"/>
      </w:pPr>
      <w:r>
        <w:rPr>
          <w:rFonts w:ascii="游明朝" w:cs="游明朝" w:eastAsia="游明朝" w:hAnsi="游明朝"/>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元気な軽度者はどれくらいいるか</w:t>
      </w:r>
    </w:p>
    <w:p>
      <w:pPr>
        <w:spacing w:after="120" w:line="300"/>
      </w:pPr>
      <w:r>
        <w:rPr>
          <w:rFonts w:ascii="游明朝" w:cs="游明朝" w:eastAsia="游明朝" w:hAnsi="游明朝"/>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1685"/>
        <w:gridCol w:w="1685"/>
        <w:gridCol w:w="1872"/>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本表は要介護認定データとの関連付けを前提とする。村からの認定データの提供が10月中旬に間に合わない場合、3-3と3-4および3-6は作成できない。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生活機能からみた4つの層</w:t>
      </w:r>
    </w:p>
    <w:p>
      <w:pPr>
        <w:spacing w:after="120" w:line="300"/>
      </w:pPr>
      <w:r>
        <w:rPr>
          <w:rFonts w:ascii="游明朝" w:cs="游明朝" w:eastAsia="游明朝" w:hAnsi="游明朝"/>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872"/>
        <w:gridCol w:w="1123"/>
        <w:gridCol w:w="112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spacing w:after="100" w:line="300"/>
      </w:pPr>
      <w:r>
        <w:rPr>
          <w:rFonts w:ascii="游ゴシック" w:cs="游ゴシック" w:eastAsia="游ゴシック" w:hAnsi="游ゴシック"/>
          <w:b/>
          <w:bCs/>
          <w:color w:val="2E75B6"/>
          <w:sz w:val="21"/>
          <w:szCs w:val="21"/>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1498"/>
        <w:gridCol w:w="1498"/>
        <w:gridCol w:w="1498"/>
        <w:gridCol w:w="14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回収を450〜500件と見込むと、4地区×3年齢階級に分けた場合の1区分は35〜42件になる。これをさらに4層に分けると1セルが1桁になるため、地区別と年齢別は別々の表として示し、掛け合わせた集計は行わない。件数が30件を下回る区分には参考値である旨を付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支え合いの現状と孤立</w:t>
      </w:r>
    </w:p>
    <w:p>
      <w:pPr>
        <w:spacing w:after="120" w:line="300"/>
      </w:pPr>
      <w:r>
        <w:rPr>
          <w:rFonts w:ascii="游明朝" w:cs="游明朝" w:eastAsia="游明朝" w:hAnsi="游明朝"/>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2434"/>
        <w:gridCol w:w="2058"/>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spacing w:after="100" w:line="300"/>
      </w:pPr>
      <w:r>
        <w:rPr>
          <w:rFonts w:ascii="游ゴシック" w:cs="游ゴシック" w:eastAsia="游ゴシック" w:hAnsi="游ゴシック"/>
          <w:b/>
          <w:bCs/>
          <w:color w:val="2E75B6"/>
          <w:sz w:val="21"/>
          <w:szCs w:val="21"/>
        </w:rPr>
        <w:t xml:space="preserve">独居・高齢者のみ世帯の状況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3-6　担い手の可能性</w:t>
      </w:r>
    </w:p>
    <w:p>
      <w:pPr>
        <w:spacing w:after="120" w:line="300"/>
      </w:pPr>
      <w:r>
        <w:rPr>
          <w:rFonts w:ascii="游明朝" w:cs="游明朝" w:eastAsia="游明朝" w:hAnsi="游明朝"/>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2434"/>
        <w:gridCol w:w="1498"/>
        <w:gridCol w:w="131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明朝" w:cs="游明朝" w:eastAsia="游明朝" w:hAnsi="游明朝"/>
          <w:sz w:val="21"/>
          <w:szCs w:val="21"/>
        </w:rPr>
        <w:t xml:space="preserve">あわせて、就労の状況と、ご近所との交流の頻度・人数を重ねます。時間に余裕のある層と、地域とのつながりが既にある層を特定するためです。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872"/>
        <w:gridCol w:w="2059"/>
        <w:gridCol w:w="2434"/>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3-7　地区別の課題（移動・除雪）</w:t>
      </w:r>
    </w:p>
    <w:p>
      <w:pPr>
        <w:spacing w:after="120" w:line="300"/>
      </w:pPr>
      <w:r>
        <w:rPr>
          <w:rFonts w:ascii="游明朝" w:cs="游明朝" w:eastAsia="游明朝" w:hAnsi="游明朝"/>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621"/>
        <w:gridCol w:w="1685"/>
        <w:gridCol w:w="1872"/>
        <w:gridCol w:w="187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自分で運転する方の割合が下がる一方で代替手段がない地区があれば、移動支援の優先度が高いことを意味する。施策2-1の組み立てに用いる。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3-8　在宅生活の継続に必要な支援</w:t>
      </w:r>
    </w:p>
    <w:p>
      <w:pPr>
        <w:spacing w:after="120" w:line="300"/>
      </w:pPr>
      <w:r>
        <w:rPr>
          <w:rFonts w:ascii="游明朝" w:cs="游明朝" w:eastAsia="游明朝" w:hAnsi="游明朝"/>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370"/>
        <w:gridCol w:w="2808"/>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施設入所の検討状況と村内施設の有無</w:t>
      </w:r>
    </w:p>
    <w:p>
      <w:pPr>
        <w:spacing w:after="120" w:line="300"/>
      </w:pPr>
      <w:r>
        <w:rPr>
          <w:rFonts w:ascii="游明朝" w:cs="游明朝" w:eastAsia="游明朝" w:hAnsi="游明朝"/>
          <w:sz w:val="21"/>
          <w:szCs w:val="21"/>
        </w:rPr>
        <w:t xml:space="preserve">村内に入所できる施設がある場合に利用したいかを尋ねています。施設整備を第10期の議論の対象とするか（合意5）の判断材料です。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621"/>
        <w:gridCol w:w="3369"/>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spacing w:after="100" w:line="300"/>
      </w:pPr>
      <w:r>
        <w:rPr>
          <w:rFonts w:ascii="游ゴシック" w:cs="游ゴシック" w:eastAsia="游ゴシック" w:hAnsi="游ゴシック"/>
          <w:b/>
          <w:bCs/>
          <w:color w:val="2E75B6"/>
          <w:sz w:val="21"/>
          <w:szCs w:val="21"/>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310"/>
        <w:gridCol w:w="2059"/>
        <w:gridCol w:w="2434"/>
        <w:gridCol w:w="1685"/>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3-9　調査から見えた課題</w:t>
      </w:r>
    </w:p>
    <w:p>
      <w:pPr>
        <w:spacing w:after="120" w:line="300"/>
      </w:pPr>
      <w:r>
        <w:rPr>
          <w:rFonts w:ascii="游明朝" w:cs="游明朝" w:eastAsia="游明朝" w:hAnsi="游明朝"/>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3182"/>
        <w:gridCol w:w="243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課題の文言は集計結果により修正する。数値が想定と異なる場合は課題の順序も入れ替える。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明朝" w:cs="游明朝" w:eastAsia="游明朝" w:hAnsi="游明朝"/>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第9期の基本理念と基本目標（振り返り）</w:t>
      </w:r>
    </w:p>
    <w:p>
      <w:pPr>
        <w:spacing w:after="120" w:line="300"/>
      </w:pPr>
      <w:r>
        <w:rPr>
          <w:rFonts w:ascii="游明朝" w:cs="游明朝" w:eastAsia="游明朝" w:hAnsi="游明朝"/>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第10期の基本理念（案）</w:t>
      </w:r>
    </w:p>
    <w:p>
      <w:pPr>
        <w:spacing w:after="100" w:line="300"/>
      </w:pPr>
      <w:r>
        <w:rPr>
          <w:rFonts w:ascii="游ゴシック" w:cs="游ゴシック" w:eastAsia="游ゴシック" w:hAnsi="游ゴシック"/>
          <w:b/>
          <w:bCs/>
          <w:color w:val="2E75B6"/>
          <w:sz w:val="21"/>
          <w:szCs w:val="21"/>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明朝" w:cs="游明朝" w:eastAsia="游明朝" w:hAnsi="游明朝"/>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1"/>
          <w:szCs w:val="21"/>
        </w:rPr>
        <w:t xml:space="preserve">案B　基本理念を継承したうえで、副題を加える</w:t>
      </w:r>
    </w:p>
    <w:p>
      <w:pPr>
        <w:spacing w:after="120" w:line="300"/>
      </w:pPr>
      <w:r>
        <w:rPr>
          <w:rFonts w:ascii="游明朝" w:cs="游明朝" w:eastAsia="游明朝" w:hAnsi="游明朝"/>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1"/>
          <w:szCs w:val="21"/>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基本目標（案）</w:t>
      </w:r>
    </w:p>
    <w:p>
      <w:pPr>
        <w:spacing w:after="120" w:line="300"/>
      </w:pPr>
      <w:r>
        <w:rPr>
          <w:rFonts w:ascii="游明朝" w:cs="游明朝" w:eastAsia="游明朝" w:hAnsi="游明朝"/>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基本目標5を新設する理由</w:t>
      </w:r>
    </w:p>
    <w:p>
      <w:pPr>
        <w:spacing w:after="120" w:line="300"/>
      </w:pPr>
      <w:r>
        <w:rPr>
          <w:rFonts w:ascii="游明朝" w:cs="游明朝" w:eastAsia="游明朝" w:hAnsi="游明朝"/>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明朝" w:cs="游明朝" w:eastAsia="游明朝" w:hAnsi="游明朝"/>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1"/>
          <w:szCs w:val="21"/>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施策の体系（案）</w:t>
      </w:r>
    </w:p>
    <w:p>
      <w:pPr>
        <w:spacing w:after="120" w:line="300"/>
      </w:pPr>
      <w:r>
        <w:rPr>
          <w:rFonts w:ascii="游明朝" w:cs="游明朝" w:eastAsia="游明朝" w:hAnsi="游明朝"/>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9296400"/>
                    </a:xfrm>
                    <a:prstGeom prst="rect">
                      <a:avLst/>
                    </a:prstGeom>
                  </pic:spPr>
                </pic:pic>
              </a:graphicData>
            </a:graphic>
          </wp:inline>
        </w:drawing>
      </w:r>
    </w:p>
    <w:p>
      <w:pPr>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明朝" w:cs="游明朝" w:eastAsia="游明朝" w:hAnsi="游明朝"/>
          <w:sz w:val="21"/>
          <w:szCs w:val="21"/>
        </w:rPr>
        <w:t xml:space="preserve">以下、基本目標ごとに施策のねらいを示します。</w:t>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第9期からの変更点</w:t>
      </w:r>
    </w:p>
    <w:p>
      <w:pPr>
        <w:spacing w:after="120" w:line="300"/>
      </w:pPr>
      <w:r>
        <w:rPr>
          <w:rFonts w:ascii="游明朝" w:cs="游明朝" w:eastAsia="游明朝" w:hAnsi="游明朝"/>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関連計画との整合</w:t>
      </w:r>
    </w:p>
    <w:p>
      <w:pPr>
        <w:spacing w:after="120" w:line="300"/>
      </w:pPr>
      <w:r>
        <w:rPr>
          <w:rFonts w:ascii="游明朝" w:cs="游明朝" w:eastAsia="游明朝" w:hAnsi="游明朝"/>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1"/>
          <w:szCs w:val="21"/>
        </w:rPr>
        <w:t xml:space="preserve">生涯学習推進計画との施策の重複について</w:t>
      </w:r>
    </w:p>
    <w:p>
      <w:pPr>
        <w:spacing w:after="120" w:line="300"/>
      </w:pPr>
      <w:r>
        <w:rPr>
          <w:rFonts w:ascii="游明朝" w:cs="游明朝" w:eastAsia="游明朝" w:hAnsi="游明朝"/>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明朝" w:cs="游明朝" w:eastAsia="游明朝" w:hAnsi="游明朝"/>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明朝" w:cs="游明朝" w:eastAsia="游明朝" w:hAnsi="游明朝"/>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306"/>
        <w:gridCol w:w="411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数値はすべて暫定値です。据え置いた項目と確定の条件は、計画素案5-12に31項目を一覧化しています。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推計の手順と前提</w:t>
      </w:r>
    </w:p>
    <w:p>
      <w:pPr>
        <w:spacing w:after="120" w:line="300"/>
      </w:pPr>
      <w:r>
        <w:rPr>
          <w:rFonts w:ascii="游明朝" w:cs="游明朝" w:eastAsia="游明朝" w:hAnsi="游明朝"/>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段階2の変更について</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明朝" w:cs="游明朝" w:eastAsia="游明朝" w:hAnsi="游明朝"/>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将来人口と認定者数の見通し</w:t>
      </w:r>
    </w:p>
    <w:p>
      <w:pPr>
        <w:spacing w:after="120" w:line="300"/>
      </w:pPr>
      <w:r>
        <w:rPr>
          <w:rFonts w:ascii="游明朝" w:cs="游明朝" w:eastAsia="游明朝" w:hAnsi="游明朝"/>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1"/>
          <w:szCs w:val="21"/>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954人に対し、実績（令和7年12月末の第1号被保険者数）は1,012人で、推計が実績を58人（5.7%）下回っています。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県の通知は「配布データを参考として適切に設定願います」としており、配布データの使用を義務づけてはいません。当方はB案を提案しますが、ご判断をお願いします。</w:t>
      </w:r>
    </w:p>
    <w:p>
      <w:pPr>
        <w:spacing w:after="100" w:line="300"/>
      </w:pPr>
      <w:r>
        <w:rPr>
          <w:rFonts w:ascii="游ゴシック" w:cs="游ゴシック" w:eastAsia="游ゴシック" w:hAnsi="游ゴシック"/>
          <w:b/>
          <w:bCs/>
          <w:color w:val="2E75B6"/>
          <w:sz w:val="21"/>
          <w:szCs w:val="21"/>
        </w:rPr>
        <w:t xml:space="preserve">要支援・要介護認定者数の見通し</w:t>
      </w:r>
    </w:p>
    <w:p>
      <w:pPr>
        <w:spacing w:after="120" w:line="300"/>
      </w:pPr>
      <w:r>
        <w:rPr>
          <w:rFonts w:ascii="游明朝" w:cs="游明朝" w:eastAsia="游明朝" w:hAnsi="游明朝"/>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明朝" w:cs="游明朝" w:eastAsia="游明朝" w:hAnsi="游明朝"/>
          <w:sz w:val="21"/>
          <w:szCs w:val="21"/>
        </w:rPr>
        <w:t xml:space="preserve">B案（実績にリベース）と令和8年の認定率を用いた場合の推計は次のとおりです。基準年である令和8年は実績と一致します。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第1号被保険者数が令和8年から令和11年にかけて25人（2.5%）減るなかで、認定者数は9人（4.3%）増えます。後期高齢者の比率が52.0%から57.0%に上がるためです。</w:t>
      </w:r>
    </w:p>
    <w:p>
      <w:pPr>
        <w:spacing w:after="100" w:line="300"/>
      </w:pPr>
      <w:r>
        <w:rPr>
          <w:rFonts w:ascii="游ゴシック" w:cs="游ゴシック" w:eastAsia="游ゴシック" w:hAnsi="游ゴシック"/>
          <w:b/>
          <w:bCs/>
          <w:color w:val="2E75B6"/>
          <w:sz w:val="21"/>
          <w:szCs w:val="21"/>
        </w:rPr>
        <w:t xml:space="preserve">ご議論いただきたい論点：認定率をどう置くか</w:t>
      </w:r>
    </w:p>
    <w:p>
      <w:pPr>
        <w:spacing w:after="120" w:line="300"/>
      </w:pPr>
      <w:r>
        <w:rPr>
          <w:rFonts w:ascii="游明朝" w:cs="游明朝" w:eastAsia="游明朝" w:hAnsi="游明朝"/>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591"/>
        <w:gridCol w:w="159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サービス種類別の見込み量</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spacing w:after="100" w:line="300"/>
      </w:pPr>
      <w:r>
        <w:rPr>
          <w:rFonts w:ascii="游ゴシック" w:cs="游ゴシック" w:eastAsia="游ゴシック" w:hAnsi="游ゴシック"/>
          <w:b/>
          <w:bCs/>
          <w:color w:val="2E75B6"/>
          <w:sz w:val="21"/>
          <w:szCs w:val="21"/>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217"/>
        <w:gridCol w:w="1217"/>
        <w:gridCol w:w="121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spacing w:after="100" w:line="300"/>
      </w:pPr>
      <w:r>
        <w:rPr>
          <w:rFonts w:ascii="游ゴシック" w:cs="游ゴシック" w:eastAsia="游ゴシック" w:hAnsi="游ゴシック"/>
          <w:b/>
          <w:bCs/>
          <w:color w:val="2E75B6"/>
          <w:sz w:val="21"/>
          <w:szCs w:val="21"/>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123"/>
        <w:gridCol w:w="1404"/>
        <w:gridCol w:w="1404"/>
        <w:gridCol w:w="1404"/>
        <w:gridCol w:w="140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498"/>
        <w:gridCol w:w="168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spacing w:after="100" w:line="300"/>
      </w:pPr>
      <w:r>
        <w:rPr>
          <w:rFonts w:ascii="游ゴシック" w:cs="游ゴシック" w:eastAsia="游ゴシック" w:hAnsi="游ゴシック"/>
          <w:b/>
          <w:bCs/>
          <w:color w:val="2E75B6"/>
          <w:sz w:val="21"/>
          <w:szCs w:val="21"/>
        </w:rPr>
        <w:t xml:space="preserve">実績のないサービスの扱い</w:t>
      </w:r>
    </w:p>
    <w:p>
      <w:pPr>
        <w:spacing w:after="120" w:line="300"/>
      </w:pPr>
      <w:r>
        <w:rPr>
          <w:rFonts w:ascii="游明朝" w:cs="游明朝" w:eastAsia="游明朝" w:hAnsi="游明朝"/>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推計の幅をどう考えるか</w:t>
      </w:r>
    </w:p>
    <w:p>
      <w:pPr>
        <w:spacing w:after="120" w:line="300"/>
      </w:pPr>
      <w:r>
        <w:rPr>
          <w:rFonts w:ascii="游明朝" w:cs="游明朝" w:eastAsia="游明朝" w:hAnsi="游明朝"/>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明朝" w:cs="游明朝" w:eastAsia="游明朝" w:hAnsi="游明朝"/>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単価が趨勢的に上がっていること</w:t>
      </w:r>
    </w:p>
    <w:p>
      <w:pPr>
        <w:spacing w:after="120" w:line="300"/>
      </w:pPr>
      <w:r>
        <w:rPr>
          <w:rFonts w:ascii="游明朝" w:cs="游明朝" w:eastAsia="游明朝" w:hAnsi="游明朝"/>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spacing w:after="100" w:line="300"/>
      </w:pPr>
      <w:r>
        <w:rPr>
          <w:rFonts w:ascii="游ゴシック" w:cs="游ゴシック" w:eastAsia="游ゴシック" w:hAnsi="游ゴシック"/>
          <w:b/>
          <w:bCs/>
          <w:color w:val="2E75B6"/>
          <w:sz w:val="21"/>
          <w:szCs w:val="21"/>
        </w:rPr>
        <w:t xml:space="preserve">② サービスごとの伸びが大きく違うこと</w:t>
      </w:r>
    </w:p>
    <w:p>
      <w:pPr>
        <w:spacing w:after="120" w:line="300"/>
      </w:pPr>
      <w:r>
        <w:rPr>
          <w:rFonts w:ascii="游明朝" w:cs="游明朝" w:eastAsia="游明朝" w:hAnsi="游明朝"/>
          <w:sz w:val="21"/>
          <w:szCs w:val="21"/>
        </w:rPr>
        <w:t xml:space="preserve">受給率を3か年平均で固定することは、すべてのサービスを認定者数の伸び（年＋2.62%）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明朝" w:cs="游明朝" w:eastAsia="游明朝" w:hAnsi="游明朝"/>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spacing w:after="100" w:line="300"/>
      </w:pPr>
      <w:r>
        <w:rPr>
          <w:rFonts w:ascii="游ゴシック" w:cs="游ゴシック" w:eastAsia="游ゴシック" w:hAnsi="游ゴシック"/>
          <w:b/>
          <w:bCs/>
          <w:color w:val="2E75B6"/>
          <w:sz w:val="21"/>
          <w:szCs w:val="21"/>
        </w:rPr>
        <w:t xml:space="preserve">③ 推計そのものに誤差があること</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685"/>
        <w:gridCol w:w="2059"/>
        <w:gridCol w:w="2059"/>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明朝" w:cs="游明朝" w:eastAsia="游明朝" w:hAnsi="游明朝"/>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spacing w:after="100" w:line="300"/>
      </w:pPr>
      <w:r>
        <w:rPr>
          <w:rFonts w:ascii="游ゴシック" w:cs="游ゴシック" w:eastAsia="游ゴシック" w:hAnsi="游ゴシック"/>
          <w:b/>
          <w:bCs/>
          <w:color w:val="2E75B6"/>
          <w:sz w:val="21"/>
          <w:szCs w:val="21"/>
        </w:rPr>
        <w:t xml:space="preserve">④ 自己点検の結果</w:t>
      </w:r>
    </w:p>
    <w:p>
      <w:pPr>
        <w:spacing w:after="120" w:line="300"/>
      </w:pPr>
      <w:r>
        <w:rPr>
          <w:rFonts w:ascii="游明朝" w:cs="游明朝" w:eastAsia="游明朝" w:hAnsi="游明朝"/>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明朝" w:cs="游明朝" w:eastAsia="游明朝" w:hAnsi="游明朝"/>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1217"/>
        <w:gridCol w:w="1217"/>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前2者は②の指摘がそのまま現れたものです。村の給付実績の提供を受けたうえで、3か年平均によらず令和7年度の水準に置くかどうかをご判断いただきます。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明朝" w:cs="游明朝" w:eastAsia="游明朝" w:hAnsi="游明朝"/>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施設整備の論点</w:t>
      </w:r>
    </w:p>
    <w:p>
      <w:pPr>
        <w:spacing w:after="120" w:line="300"/>
      </w:pPr>
      <w:r>
        <w:rPr>
          <w:rFonts w:ascii="游明朝" w:cs="游明朝" w:eastAsia="游明朝" w:hAnsi="游明朝"/>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1"/>
          <w:szCs w:val="21"/>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1"/>
          <w:szCs w:val="21"/>
        </w:rPr>
        <w:t xml:space="preserve">ご議論いただきたい論点</w:t>
      </w:r>
    </w:p>
    <w:p>
      <w:pPr>
        <w:pStyle w:val="ListParagraph"/>
        <w:numPr>
          <w:ilvl w:val="0"/>
          <w:numId w:val="2"/>
        </w:numPr>
        <w:spacing w:after="60" w:line="300"/>
      </w:pPr>
      <w:r>
        <w:rPr>
          <w:rFonts w:ascii="游明朝" w:cs="游明朝" w:eastAsia="游明朝" w:hAnsi="游明朝"/>
          <w:sz w:val="21"/>
          <w:szCs w:val="21"/>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明朝" w:cs="游明朝" w:eastAsia="游明朝" w:hAnsi="游明朝"/>
          <w:sz w:val="21"/>
          <w:szCs w:val="21"/>
        </w:rPr>
        <w:t xml:space="preserve">第10期で施設整備を議論の対象とするかどうか</w:t>
      </w:r>
    </w:p>
    <w:p>
      <w:pPr>
        <w:pStyle w:val="ListParagraph"/>
        <w:numPr>
          <w:ilvl w:val="0"/>
          <w:numId w:val="2"/>
        </w:numPr>
        <w:spacing w:after="60" w:line="300"/>
      </w:pPr>
      <w:r>
        <w:rPr>
          <w:rFonts w:ascii="游明朝" w:cs="游明朝" w:eastAsia="游明朝" w:hAnsi="游明朝"/>
          <w:sz w:val="21"/>
          <w:szCs w:val="21"/>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介護人材の確保</w:t>
      </w:r>
    </w:p>
    <w:p>
      <w:pPr>
        <w:spacing w:after="120" w:line="300"/>
      </w:pPr>
      <w:r>
        <w:rPr>
          <w:rFonts w:ascii="游明朝" w:cs="游明朝" w:eastAsia="游明朝" w:hAnsi="游明朝"/>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明朝" w:cs="游明朝" w:eastAsia="游明朝" w:hAnsi="游明朝"/>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本日ご議論いただきたいのは、①基金の取崩しをどの規模で行うか、②推計の幅をどこまで保険料に織り込むか、の2点です。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第10期の保険料を考える前提</w:t>
      </w:r>
    </w:p>
    <w:p>
      <w:pPr>
        <w:spacing w:after="100" w:line="300"/>
      </w:pPr>
      <w:r>
        <w:rPr>
          <w:rFonts w:ascii="游ゴシック" w:cs="游ゴシック" w:eastAsia="游ゴシック" w:hAnsi="游ゴシック"/>
          <w:b/>
          <w:bCs/>
          <w:color w:val="2E75B6"/>
          <w:sz w:val="21"/>
          <w:szCs w:val="21"/>
        </w:rPr>
        <w:t xml:space="preserve">(1) 給付費は10年間ほぼ横ばいです</w:t>
      </w:r>
    </w:p>
    <w:p>
      <w:pPr>
        <w:spacing w:after="120" w:line="300"/>
      </w:pPr>
      <w:r>
        <w:rPr>
          <w:rFonts w:ascii="游明朝" w:cs="游明朝" w:eastAsia="游明朝" w:hAnsi="游明朝"/>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1"/>
          <w:szCs w:val="21"/>
        </w:rPr>
        <w:t xml:space="preserve">(2) 調整交付金が10年で3分の2に減っています</w:t>
      </w:r>
    </w:p>
    <w:p>
      <w:pPr>
        <w:spacing w:after="120" w:line="300"/>
      </w:pPr>
      <w:r>
        <w:rPr>
          <w:rFonts w:ascii="游明朝" w:cs="游明朝" w:eastAsia="游明朝" w:hAnsi="游明朝"/>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1"/>
          <w:szCs w:val="21"/>
        </w:rPr>
        <w:t xml:space="preserve">(3) 令和9年度は介護報酬の改定年です</w:t>
      </w:r>
    </w:p>
    <w:p>
      <w:pPr>
        <w:spacing w:after="120" w:line="300"/>
      </w:pPr>
      <w:r>
        <w:rPr>
          <w:rFonts w:ascii="游明朝" w:cs="游明朝" w:eastAsia="游明朝" w:hAnsi="游明朝"/>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保険料の算定の構造と感応度</w:t>
      </w:r>
    </w:p>
    <w:p>
      <w:pPr>
        <w:spacing w:after="120" w:line="300"/>
      </w:pPr>
      <w:r>
        <w:rPr>
          <w:rFonts w:ascii="游明朝" w:cs="游明朝" w:eastAsia="游明朝" w:hAnsi="游明朝"/>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861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審査支払手数料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どの前提がどれだけ効くか</w:t>
      </w:r>
    </w:p>
    <w:p>
      <w:pPr>
        <w:spacing w:after="120" w:line="300"/>
      </w:pPr>
      <w:r>
        <w:rPr>
          <w:rFonts w:ascii="游明朝" w:cs="游明朝" w:eastAsia="游明朝" w:hAnsi="游明朝"/>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3"/>
        <w:gridCol w:w="3557"/>
      </w:tblGrid>
      <w:tr>
        <w:trPr>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6-3b　保険料の複数案（案）</w:t>
      </w:r>
    </w:p>
    <w:p>
      <w:pPr>
        <w:spacing w:after="120" w:line="300"/>
      </w:pPr>
      <w:r>
        <w:rPr>
          <w:rFonts w:ascii="游明朝" w:cs="游明朝" w:eastAsia="游明朝" w:hAnsi="游明朝"/>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3370"/>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spacing w:after="100" w:line="300"/>
      </w:pPr>
      <w:r>
        <w:rPr>
          <w:rFonts w:ascii="游ゴシック" w:cs="游ゴシック" w:eastAsia="游ゴシック" w:hAnsi="游ゴシック"/>
          <w:b/>
          <w:bCs/>
          <w:color w:val="2E75B6"/>
          <w:sz w:val="21"/>
          <w:szCs w:val="21"/>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370"/>
        <w:gridCol w:w="2621"/>
        <w:gridCol w:w="2620"/>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所得段階の設定</w:t>
      </w:r>
    </w:p>
    <w:p>
      <w:pPr>
        <w:spacing w:after="120" w:line="300"/>
      </w:pPr>
      <w:r>
        <w:rPr>
          <w:rFonts w:ascii="游明朝" w:cs="游明朝" w:eastAsia="游明朝" w:hAnsi="游明朝"/>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2040年に向けた見通し</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給付費が減っても保険料は下がりません</w:t>
      </w:r>
    </w:p>
    <w:p>
      <w:pPr>
        <w:spacing w:after="120" w:line="300"/>
      </w:pPr>
      <w:r>
        <w:rPr>
          <w:rFonts w:ascii="游明朝" w:cs="游明朝" w:eastAsia="游明朝" w:hAnsi="游明朝"/>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7-1　指標の設定方針</w:t>
      </w:r>
    </w:p>
    <w:p>
      <w:pPr>
        <w:spacing w:after="120" w:line="300"/>
      </w:pPr>
      <w:r>
        <w:rPr>
          <w:rFonts w:ascii="游明朝" w:cs="游明朝" w:eastAsia="游明朝" w:hAnsi="游明朝"/>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明朝" w:cs="游明朝" w:eastAsia="游明朝" w:hAnsi="游明朝"/>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7-2　成果目標（アウトカム）</w:t>
      </w:r>
    </w:p>
    <w:p>
      <w:pPr>
        <w:spacing w:after="120" w:line="300"/>
      </w:pPr>
      <w:r>
        <w:rPr>
          <w:rFonts w:ascii="游明朝" w:cs="游明朝" w:eastAsia="游明朝" w:hAnsi="游明朝"/>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　活動指標（アウトプット）</w:t>
      </w:r>
    </w:p>
    <w:p>
      <w:pPr>
        <w:spacing w:after="120" w:line="300"/>
      </w:pPr>
      <w:r>
        <w:rPr>
          <w:rFonts w:ascii="游明朝" w:cs="游明朝" w:eastAsia="游明朝" w:hAnsi="游明朝"/>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7-3b　全国と比べてどこを上げるか</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5"/>
        <w:gridCol w:w="1498"/>
        <w:gridCol w:w="2246"/>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7-3c　計画に書くことで取得できる評価指標（61点）</w:t>
      </w:r>
    </w:p>
    <w:p>
      <w:pPr>
        <w:spacing w:after="120" w:line="300"/>
      </w:pPr>
      <w:r>
        <w:rPr>
          <w:rFonts w:ascii="游明朝" w:cs="游明朝" w:eastAsia="游明朝" w:hAnsi="游明朝"/>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749"/>
        <w:gridCol w:w="1123"/>
        <w:gridCol w:w="1030"/>
        <w:gridCol w:w="2340"/>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spacing w:after="100" w:line="300"/>
      </w:pPr>
      <w:r>
        <w:rPr>
          <w:rFonts w:ascii="游ゴシック" w:cs="游ゴシック" w:eastAsia="游ゴシック" w:hAnsi="游ゴシック"/>
          <w:b/>
          <w:bCs/>
          <w:color w:val="2E75B6"/>
          <w:sz w:val="21"/>
          <w:szCs w:val="21"/>
        </w:rPr>
        <w:t xml:space="preserve">なかでも次の3つは、本計画を策定すること自体が条件を満たします</w:t>
      </w:r>
    </w:p>
    <w:p>
      <w:pPr>
        <w:pStyle w:val="ListParagraph"/>
        <w:numPr>
          <w:ilvl w:val="0"/>
          <w:numId w:val="2"/>
        </w:numPr>
        <w:spacing w:after="60" w:line="300"/>
      </w:pPr>
      <w:r>
        <w:rPr>
          <w:rFonts w:ascii="游明朝" w:cs="游明朝" w:eastAsia="游明朝" w:hAnsi="游明朝"/>
          <w:sz w:val="21"/>
          <w:szCs w:val="21"/>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明朝" w:cs="游明朝" w:eastAsia="游明朝" w:hAnsi="游明朝"/>
          <w:sz w:val="21"/>
          <w:szCs w:val="21"/>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明朝" w:cs="游明朝" w:eastAsia="游明朝" w:hAnsi="游明朝"/>
          <w:sz w:val="21"/>
          <w:szCs w:val="21"/>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spacing w:after="100" w:line="300"/>
      </w:pPr>
      <w:r>
        <w:rPr>
          <w:rFonts w:ascii="游ゴシック" w:cs="游ゴシック" w:eastAsia="游ゴシック" w:hAnsi="游ゴシック"/>
          <w:b/>
          <w:bCs/>
          <w:color w:val="2E75B6"/>
          <w:sz w:val="21"/>
          <w:szCs w:val="21"/>
        </w:rPr>
        <w:t xml:space="preserve">村の取組の可否をご確認いただきたいもの</w:t>
      </w:r>
    </w:p>
    <w:p>
      <w:pPr>
        <w:pStyle w:val="ListParagraph"/>
        <w:numPr>
          <w:ilvl w:val="0"/>
          <w:numId w:val="2"/>
        </w:numPr>
        <w:spacing w:after="60" w:line="300"/>
      </w:pPr>
      <w:r>
        <w:rPr>
          <w:rFonts w:ascii="游明朝" w:cs="游明朝" w:eastAsia="游明朝" w:hAnsi="游明朝"/>
          <w:sz w:val="21"/>
          <w:szCs w:val="21"/>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明朝" w:cs="游明朝" w:eastAsia="游明朝" w:hAnsi="游明朝"/>
          <w:sz w:val="21"/>
          <w:szCs w:val="21"/>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明朝" w:cs="游明朝" w:eastAsia="游明朝" w:hAnsi="游明朝"/>
          <w:sz w:val="21"/>
          <w:szCs w:val="21"/>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明朝" w:cs="游明朝" w:eastAsia="游明朝" w:hAnsi="游明朝"/>
          <w:sz w:val="21"/>
          <w:szCs w:val="21"/>
        </w:rPr>
        <w:t xml:space="preserve">難聴高齢者への取組（10点）……普及啓発と早期発見の2段階です。受診状況の把握と受診率50%以上は全国でも14.6%・4.8%と取得が少ないため、第10期はまず前2段階に取り組みます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7-4　進捗管理の仕組み</w:t>
      </w:r>
    </w:p>
    <w:p>
      <w:pPr>
        <w:spacing w:after="120" w:line="300"/>
      </w:pPr>
      <w:r>
        <w:rPr>
          <w:rFonts w:ascii="游明朝" w:cs="游明朝" w:eastAsia="游明朝" w:hAnsi="游明朝"/>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1"/>
          <w:szCs w:val="21"/>
        </w:rPr>
        <w:t xml:space="preserve">交付金の得点を数値目標に置くかどうか</w:t>
      </w:r>
    </w:p>
    <w:p>
      <w:pPr>
        <w:spacing w:after="120" w:line="300"/>
      </w:pPr>
      <w:r>
        <w:rPr>
          <w:rFonts w:ascii="游明朝" w:cs="游明朝" w:eastAsia="游明朝" w:hAnsi="游明朝"/>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明朝" w:cs="游明朝" w:eastAsia="游明朝" w:hAnsi="游明朝"/>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616"/>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8-2　本日以降のスケジュール</w:t>
      </w:r>
    </w:p>
    <w:p>
      <w:pPr>
        <w:spacing w:after="120" w:line="300"/>
      </w:pPr>
      <w:r>
        <w:rPr>
          <w:rFonts w:ascii="游明朝" w:cs="游明朝" w:eastAsia="游明朝" w:hAnsi="游明朝"/>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123"/>
        <w:gridCol w:w="299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8-3　本日ご確認いただきたい日程</w:t>
      </w:r>
    </w:p>
    <w:p>
      <w:pPr>
        <w:spacing w:after="120" w:line="300"/>
      </w:pPr>
      <w:r>
        <w:rPr>
          <w:rFonts w:ascii="游明朝" w:cs="游明朝" w:eastAsia="游明朝" w:hAnsi="游明朝"/>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4306"/>
        <w:gridCol w:w="2246"/>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8-4　スケジュール上の留意点</w:t>
      </w:r>
    </w:p>
    <w:p>
      <w:pPr>
        <w:spacing w:after="120" w:line="300"/>
      </w:pPr>
      <w:r>
        <w:rPr>
          <w:rFonts w:ascii="游明朝" w:cs="游明朝" w:eastAsia="游明朝" w:hAnsi="游明朝"/>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調査の集計が遅れた場合</w:t>
      </w:r>
    </w:p>
    <w:p>
      <w:pPr>
        <w:spacing w:after="120" w:line="300"/>
      </w:pPr>
      <w:r>
        <w:rPr>
          <w:rFonts w:ascii="游明朝" w:cs="游明朝" w:eastAsia="游明朝" w:hAnsi="游明朝"/>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2026-09-28T12:23:02.387Z</dcterms:created>
  <dcterms:modified xsi:type="dcterms:W3CDTF">2026-09-28T12:23:02.388Z</dcterms:modified>
</cp:coreProperties>
</file>

<file path=docProps/custom.xml><?xml version="1.0" encoding="utf-8"?>
<Properties xmlns="http://schemas.openxmlformats.org/officeDocument/2006/custom-properties" xmlns:vt="http://schemas.openxmlformats.org/officeDocument/2006/docPropsVTypes"/>
</file>