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t>成果指標の仕様</w:t>
      </w:r>
    </w:p>
    <w:p>
      <w:pPr>
        <w:spacing w:after="120"/>
        <w:jc w:val="center"/>
      </w:pPr>
      <w:r>
        <w:rPr>
          <w:rFonts w:ascii="游ゴシック" w:hAnsi="游ゴシック" w:eastAsia="游ゴシック"/>
          <w:b w:val="0"/>
          <w:i w:val="0"/>
          <w:sz w:val="26"/>
        </w:rPr>
        <w:t>算式・母数・基準時点・データ源・毎年度取得可能か</w:t>
      </w:r>
    </w:p>
    <w:p>
      <w:pPr>
        <w:spacing w:after="120"/>
        <w:jc w:val="center"/>
      </w:pPr>
      <w:r>
        <w:rPr>
          <w:rFonts w:ascii="游ゴシック" w:hAnsi="游ゴシック" w:eastAsia="游ゴシック"/>
          <w:b w:val="0"/>
          <w:i w:val="0"/>
          <w:sz w:val="26"/>
        </w:rPr>
        <w:t>令和8年10月14日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本書の位置づけ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1-1　素案の側の状態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1-2　3つの層に分ける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2　結論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2-1　毎年度測れないもの（調査でしか測れない）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2-2　仕様が決まっていないもの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2-3　そのほか気づいたこと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3　1件ずつの仕様</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4　障がい計画の成果目標・活動指標の仕様</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4-1　成果目標（8分野）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4-2　活動指標（6区分）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4-3　障がい側で先に決めること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5　協議会にお諮りすること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本書の位置づけ</w:t>
      </w:r>
      <w:bookmarkEnd w:id="101"/>
    </w:p>
    <w:p>
      <w:pPr>
        <w:spacing w:before="60" w:after="60"/>
      </w:pPr>
      <w:r>
        <w:rPr>
          <w:rFonts w:ascii="游ゴシック" w:hAnsi="游ゴシック" w:eastAsia="游ゴシック"/>
          <w:b w:val="0"/>
          <w:i w:val="0"/>
          <w:sz w:val="21"/>
        </w:rPr>
        <w:t>成果指標の目標値は協議会でお諮りしますが、</w:t>
      </w:r>
      <w:r>
        <w:rPr>
          <w:rFonts w:ascii="游ゴシック" w:hAnsi="游ゴシック" w:eastAsia="游ゴシック"/>
          <w:b/>
          <w:i w:val="0"/>
          <w:sz w:val="21"/>
        </w:rPr>
        <w:t>その前に指標の仕様を決めておく必要があります。</w:t>
      </w:r>
      <w:r>
        <w:rPr>
          <w:rFonts w:ascii="游ゴシック" w:hAnsi="游ゴシック" w:eastAsia="游ゴシック"/>
          <w:b w:val="0"/>
          <w:i w:val="0"/>
          <w:sz w:val="21"/>
        </w:rPr>
        <w:t xml:space="preserve"> 何を数えるか・いつの時点か・どの資料から取るか・毎年度取れるかが決まっていないと、目標値を決めた後で測れないことが分かります。</w:t>
      </w:r>
    </w:p>
    <w:p>
      <w:pPr>
        <w:spacing w:before="60" w:after="60"/>
      </w:pPr>
      <w:r>
        <w:rPr>
          <w:rFonts w:ascii="游ゴシック" w:hAnsi="游ゴシック" w:eastAsia="游ゴシック"/>
          <w:b w:val="0"/>
          <w:i w:val="0"/>
          <w:sz w:val="21"/>
        </w:rPr>
        <w:t>素案（小野町高齢者保健福祉計画_第10期介護保険事業計画_素案_第11版_20261015.docx）の第5章に置いた成果指標を現物から読み出し、</w:t>
      </w:r>
      <w:r>
        <w:rPr>
          <w:rFonts w:ascii="游ゴシック" w:hAnsi="游ゴシック" w:eastAsia="游ゴシック"/>
          <w:b/>
          <w:i w:val="0"/>
          <w:sz w:val="21"/>
        </w:rPr>
        <w:t>48件</w:t>
      </w:r>
      <w:r>
        <w:rPr>
          <w:rFonts w:ascii="游ゴシック" w:hAnsi="游ゴシック" w:eastAsia="游ゴシック"/>
          <w:b w:val="0"/>
          <w:i w:val="0"/>
          <w:sz w:val="21"/>
        </w:rPr>
        <w:t>について1件ずつ仕様を当てました。</w:t>
      </w:r>
    </w:p>
    <w:p>
      <w:pPr>
        <w:pStyle w:val="Heading2"/>
        <w:keepNext/>
        <w:spacing w:before="180" w:after="100"/>
      </w:pPr>
      <w:bookmarkStart w:id="102" w:name="_Toc_002"/>
      <w:r>
        <w:rPr>
          <w:rFonts w:ascii="游ゴシック" w:hAnsi="游ゴシック" w:eastAsia="游ゴシック"/>
          <w:b/>
          <w:i w:val="0"/>
          <w:color w:val="2E74B5"/>
          <w:sz w:val="25"/>
        </w:rPr>
        <w:t>1-1　素案の側の状態</w:t>
      </w:r>
      <w:bookmarkEnd w:id="102"/>
    </w:p>
    <w:p>
      <w:pPr>
        <w:spacing w:before="60" w:after="60"/>
      </w:pPr>
      <w:r>
        <w:rPr>
          <w:rFonts w:ascii="游ゴシック" w:hAnsi="游ゴシック" w:eastAsia="游ゴシック"/>
          <w:b w:val="0"/>
          <w:i w:val="0"/>
          <w:sz w:val="21"/>
        </w:rPr>
        <w:t>素案は資料編8〜10に</w:t>
      </w:r>
      <w:r>
        <w:rPr>
          <w:rFonts w:ascii="游ゴシック" w:hAnsi="游ゴシック" w:eastAsia="游ゴシック"/>
          <w:b/>
          <w:i w:val="0"/>
          <w:sz w:val="21"/>
        </w:rPr>
        <w:t>枠</w:t>
      </w:r>
      <w:r>
        <w:rPr>
          <w:rFonts w:ascii="游ゴシック" w:hAnsi="游ゴシック" w:eastAsia="游ゴシック"/>
          <w:b w:val="0"/>
          <w:i w:val="0"/>
          <w:sz w:val="21"/>
        </w:rPr>
        <w:t>を持っています（成果指標の定義／年次評価の様式／施策の見直しの基準）。一方、</w:t>
      </w:r>
      <w:r>
        <w:rPr>
          <w:rFonts w:ascii="游ゴシック" w:hAnsi="游ゴシック" w:eastAsia="游ゴシック"/>
          <w:b/>
          <w:i w:val="0"/>
          <w:sz w:val="21"/>
        </w:rPr>
        <w:t>1件ずつの仕様は決めていません。</w:t>
      </w:r>
      <w:r>
        <w:rPr>
          <w:rFonts w:ascii="游ゴシック" w:hAnsi="游ゴシック" w:eastAsia="游ゴシック"/>
          <w:b w:val="0"/>
          <w:i w:val="0"/>
          <w:sz w:val="21"/>
        </w:rPr>
        <w:t xml:space="preserve"> 素案 資料編8の注記が自ら次のように書いています。</w:t>
      </w:r>
    </w:p>
    <w:p>
      <w:pPr>
        <w:spacing w:before="60" w:after="60"/>
        <w:ind w:left="227"/>
      </w:pPr>
      <w:r>
        <w:rPr>
          <w:rFonts w:ascii="游ゴシック" w:hAnsi="游ゴシック" w:eastAsia="游ゴシック"/>
          <w:b w:val="0"/>
          <w:i w:val="0"/>
          <w:sz w:val="21"/>
        </w:rPr>
        <w:t xml:space="preserve">　※ 各成果指標の算式・基準時点・データ源は、目標値の設定とあわせて協議会でお諮りします（【協議会で設定】）。第5章の各施策に置いた成果指標のうち、現状値が取れているものから順に定義を固めます。</w:t>
      </w:r>
    </w:p>
    <w:p>
      <w:pPr>
        <w:spacing w:before="60" w:after="60"/>
      </w:pPr>
      <w:r>
        <w:rPr>
          <w:rFonts w:ascii="游ゴシック" w:hAnsi="游ゴシック" w:eastAsia="游ゴシック"/>
          <w:b/>
          <w:i w:val="0"/>
          <w:sz w:val="21"/>
        </w:rPr>
        <w:t>本書はその「1件ずつ」を埋めるものです。</w:t>
      </w:r>
    </w:p>
    <w:p>
      <w:pPr>
        <w:pStyle w:val="Heading2"/>
        <w:keepNext/>
        <w:spacing w:before="180" w:after="100"/>
      </w:pPr>
      <w:bookmarkStart w:id="103" w:name="_Toc_003"/>
      <w:r>
        <w:rPr>
          <w:rFonts w:ascii="游ゴシック" w:hAnsi="游ゴシック" w:eastAsia="游ゴシック"/>
          <w:b/>
          <w:i w:val="0"/>
          <w:color w:val="2E74B5"/>
          <w:sz w:val="25"/>
        </w:rPr>
        <w:t>1-2　3つの層に分ける</w:t>
      </w:r>
      <w:bookmarkEnd w:id="103"/>
    </w:p>
    <w:p>
      <w:pPr>
        <w:keepNext/>
        <w:spacing w:before="200" w:after="40"/>
      </w:pPr>
      <w:r>
        <w:rPr>
          <w:rFonts w:ascii="游ゴシック" w:hAnsi="游ゴシック" w:eastAsia="游ゴシック"/>
          <w:b/>
          <w:i w:val="0"/>
          <w:color w:val="1F4D78"/>
          <w:sz w:val="22"/>
        </w:rPr>
        <w:t>【表1】指標の3つの層</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1247"/>
        <w:gridCol w:w="3969"/>
        <w:gridCol w:w="3855"/>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何を測るか</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測り方</w:t>
            </w:r>
          </w:p>
        </w:tc>
        <w:tc>
          <w:tcPr>
            <w:tcW w:type="dxa" w:w="3855"/>
            <w:shd w:val="clear" w:fill="1F3864"/>
            <w:vAlign w:val="center"/>
          </w:tcPr>
          <w:p>
            <w:pPr>
              <w:spacing w:before="20" w:after="20"/>
              <w:jc w:val="center"/>
            </w:pPr>
            <w:r>
              <w:rPr>
                <w:rFonts w:ascii="游ゴシック" w:hAnsi="游ゴシック" w:eastAsia="游ゴシック"/>
                <w:b/>
                <w:i w:val="0"/>
                <w:color w:val="FFFFFF"/>
                <w:sz w:val="17"/>
              </w:rPr>
              <w:t>毎年度測れるか</w:t>
            </w:r>
          </w:p>
        </w:tc>
      </w:tr>
      <w:tr>
        <w:tc>
          <w:tcPr>
            <w:tcW w:type="dxa" w:w="680"/>
            <w:vAlign w:val="center"/>
          </w:tcPr>
          <w:p>
            <w:pPr>
              <w:spacing w:before="20" w:after="20"/>
            </w:pPr>
            <w:r>
              <w:rPr>
                <w:rFonts w:ascii="游ゴシック" w:hAnsi="游ゴシック" w:eastAsia="游ゴシック"/>
                <w:b w:val="0"/>
                <w:i w:val="0"/>
                <w:sz w:val="17"/>
              </w:rPr>
              <w:t>Ｑ</w:t>
            </w:r>
          </w:p>
        </w:tc>
        <w:tc>
          <w:tcPr>
            <w:tcW w:type="dxa" w:w="1247"/>
            <w:vAlign w:val="center"/>
          </w:tcPr>
          <w:p>
            <w:pPr>
              <w:spacing w:before="20" w:after="20"/>
            </w:pPr>
            <w:r>
              <w:rPr>
                <w:rFonts w:ascii="游ゴシック" w:hAnsi="游ゴシック" w:eastAsia="游ゴシック"/>
                <w:b w:val="0"/>
                <w:i w:val="0"/>
                <w:sz w:val="17"/>
              </w:rPr>
              <w:t>量</w:t>
            </w:r>
          </w:p>
        </w:tc>
        <w:tc>
          <w:tcPr>
            <w:tcW w:type="dxa" w:w="3969"/>
            <w:vAlign w:val="center"/>
          </w:tcPr>
          <w:p>
            <w:pPr>
              <w:spacing w:before="20" w:after="20"/>
            </w:pPr>
            <w:r>
              <w:rPr>
                <w:rFonts w:ascii="游ゴシック" w:hAnsi="游ゴシック" w:eastAsia="游ゴシック"/>
                <w:b w:val="0"/>
                <w:i w:val="0"/>
                <w:sz w:val="17"/>
              </w:rPr>
              <w:t>人数・回数・金額を数える</w:t>
            </w:r>
          </w:p>
        </w:tc>
        <w:tc>
          <w:tcPr>
            <w:tcW w:type="dxa" w:w="3855"/>
            <w:vAlign w:val="center"/>
          </w:tcPr>
          <w:p>
            <w:pPr>
              <w:spacing w:before="20" w:after="20"/>
            </w:pPr>
            <w:r>
              <w:rPr>
                <w:rFonts w:ascii="游ゴシック" w:hAnsi="游ゴシック" w:eastAsia="游ゴシック"/>
                <w:b w:val="0"/>
                <w:i w:val="0"/>
                <w:sz w:val="17"/>
              </w:rPr>
              <w:t>実績により毎年度測れる</w:t>
            </w:r>
          </w:p>
        </w:tc>
      </w:tr>
      <w:tr>
        <w:tc>
          <w:tcPr>
            <w:tcW w:type="dxa" w:w="680"/>
            <w:vAlign w:val="center"/>
          </w:tcPr>
          <w:p>
            <w:pPr>
              <w:keepNext/>
              <w:spacing w:before="20" w:after="20"/>
            </w:pPr>
            <w:r>
              <w:rPr>
                <w:rFonts w:ascii="游ゴシック" w:hAnsi="游ゴシック" w:eastAsia="游ゴシック"/>
                <w:b w:val="0"/>
                <w:i w:val="0"/>
                <w:sz w:val="17"/>
              </w:rPr>
              <w:t>Ｔ</w:t>
            </w:r>
          </w:p>
        </w:tc>
        <w:tc>
          <w:tcPr>
            <w:tcW w:type="dxa" w:w="1247"/>
            <w:vAlign w:val="center"/>
          </w:tcPr>
          <w:p>
            <w:pPr>
              <w:keepNext/>
              <w:spacing w:before="20" w:after="20"/>
            </w:pPr>
            <w:r>
              <w:rPr>
                <w:rFonts w:ascii="游ゴシック" w:hAnsi="游ゴシック" w:eastAsia="游ゴシック"/>
                <w:b w:val="0"/>
                <w:i w:val="0"/>
                <w:sz w:val="17"/>
              </w:rPr>
              <w:t>体制</w:t>
            </w:r>
          </w:p>
        </w:tc>
        <w:tc>
          <w:tcPr>
            <w:tcW w:type="dxa" w:w="3969"/>
            <w:vAlign w:val="center"/>
          </w:tcPr>
          <w:p>
            <w:pPr>
              <w:keepNext/>
              <w:spacing w:before="20" w:after="20"/>
            </w:pPr>
            <w:r>
              <w:rPr>
                <w:rFonts w:ascii="游ゴシック" w:hAnsi="游ゴシック" w:eastAsia="游ゴシック"/>
                <w:b w:val="0"/>
                <w:i w:val="0"/>
                <w:sz w:val="17"/>
              </w:rPr>
              <w:t>有無・設置・実施を確かめる</w:t>
            </w:r>
          </w:p>
        </w:tc>
        <w:tc>
          <w:tcPr>
            <w:tcW w:type="dxa" w:w="3855"/>
            <w:vAlign w:val="center"/>
          </w:tcPr>
          <w:p>
            <w:pPr>
              <w:keepNext/>
              <w:spacing w:before="20" w:after="20"/>
            </w:pPr>
            <w:r>
              <w:rPr>
                <w:rFonts w:ascii="游ゴシック" w:hAnsi="游ゴシック" w:eastAsia="游ゴシック"/>
                <w:b w:val="0"/>
                <w:i w:val="0"/>
                <w:sz w:val="17"/>
              </w:rPr>
              <w:t>事実確認により毎年度測れる</w:t>
            </w:r>
          </w:p>
        </w:tc>
      </w:tr>
      <w:tr>
        <w:tc>
          <w:tcPr>
            <w:tcW w:type="dxa" w:w="680"/>
            <w:vAlign w:val="center"/>
          </w:tcPr>
          <w:p>
            <w:pPr>
              <w:spacing w:before="20" w:after="20"/>
            </w:pPr>
            <w:r>
              <w:rPr>
                <w:rFonts w:ascii="游ゴシック" w:hAnsi="游ゴシック" w:eastAsia="游ゴシック"/>
                <w:b w:val="0"/>
                <w:i w:val="0"/>
                <w:sz w:val="17"/>
              </w:rPr>
              <w:t>Ｊ</w:t>
            </w:r>
          </w:p>
        </w:tc>
        <w:tc>
          <w:tcPr>
            <w:tcW w:type="dxa" w:w="1247"/>
            <w:vAlign w:val="center"/>
          </w:tcPr>
          <w:p>
            <w:pPr>
              <w:spacing w:before="20" w:after="20"/>
            </w:pPr>
            <w:r>
              <w:rPr>
                <w:rFonts w:ascii="游ゴシック" w:hAnsi="游ゴシック" w:eastAsia="游ゴシック"/>
                <w:b w:val="0"/>
                <w:i w:val="0"/>
                <w:sz w:val="17"/>
              </w:rPr>
              <w:t>状態</w:t>
            </w:r>
          </w:p>
        </w:tc>
        <w:tc>
          <w:tcPr>
            <w:tcW w:type="dxa" w:w="3969"/>
            <w:vAlign w:val="center"/>
          </w:tcPr>
          <w:p>
            <w:pPr>
              <w:spacing w:before="20" w:after="20"/>
            </w:pPr>
            <w:r>
              <w:rPr>
                <w:rFonts w:ascii="游ゴシック" w:hAnsi="游ゴシック" w:eastAsia="游ゴシック"/>
                <w:b w:val="0"/>
                <w:i w:val="0"/>
                <w:sz w:val="17"/>
              </w:rPr>
              <w:t>本人・家族の認識や心身の状態</w:t>
            </w:r>
          </w:p>
        </w:tc>
        <w:tc>
          <w:tcPr>
            <w:tcW w:type="dxa" w:w="3855"/>
            <w:vAlign w:val="center"/>
          </w:tcPr>
          <w:p>
            <w:pPr>
              <w:spacing w:before="20" w:after="20"/>
            </w:pPr>
            <w:r>
              <w:rPr>
                <w:rFonts w:ascii="游ゴシック" w:hAnsi="游ゴシック" w:eastAsia="游ゴシック"/>
                <w:b/>
                <w:i w:val="0"/>
                <w:sz w:val="17"/>
              </w:rPr>
              <w:t>調査でしか測れない</w:t>
            </w:r>
          </w:p>
        </w:tc>
      </w:tr>
    </w:tbl>
    <w:p>
      <w:pPr>
        <w:spacing w:after="40"/>
      </w:pPr>
    </w:p>
    <w:p>
      <w:pPr>
        <w:spacing w:before="60" w:after="60"/>
      </w:pPr>
      <w:r>
        <w:rPr>
          <w:rFonts w:ascii="游ゴシック" w:hAnsi="游ゴシック" w:eastAsia="游ゴシック"/>
          <w:b/>
          <w:i w:val="0"/>
          <w:sz w:val="21"/>
        </w:rPr>
        <w:t>毎年度測れないのは状態（Ｊ）だけです。</w:t>
      </w:r>
      <w:r>
        <w:rPr>
          <w:rFonts w:ascii="游ゴシック" w:hAnsi="游ゴシック" w:eastAsia="游ゴシック"/>
          <w:b w:val="0"/>
          <w:i w:val="0"/>
          <w:sz w:val="21"/>
        </w:rPr>
        <w:t xml:space="preserve"> ここを分けないまま目標値を協議会にお諮りすると、決めた後で測れないことが分かります。</w:t>
      </w:r>
    </w:p>
    <w:p>
      <w:pPr>
        <w:pStyle w:val="Heading1"/>
        <w:keepNext/>
        <w:spacing w:before="240" w:after="100"/>
      </w:pPr>
      <w:bookmarkStart w:id="104" w:name="_Toc_004"/>
      <w:r>
        <w:rPr>
          <w:rFonts w:ascii="游ゴシック" w:hAnsi="游ゴシック" w:eastAsia="游ゴシック"/>
          <w:b/>
          <w:i w:val="0"/>
          <w:color w:val="2E74B5"/>
          <w:sz w:val="30"/>
        </w:rPr>
        <w:t>2　結論</w:t>
      </w:r>
      <w:bookmarkEnd w:id="104"/>
    </w:p>
    <w:p>
      <w:pPr>
        <w:keepNext/>
        <w:spacing w:before="200" w:after="40"/>
      </w:pPr>
      <w:r>
        <w:rPr>
          <w:rFonts w:ascii="游ゴシック" w:hAnsi="游ゴシック" w:eastAsia="游ゴシック"/>
          <w:b/>
          <w:i w:val="0"/>
          <w:color w:val="1F4D78"/>
          <w:sz w:val="22"/>
        </w:rPr>
        <w:t>【表2】層ごとの件数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1134"/>
        <w:gridCol w:w="6917"/>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6917"/>
            <w:shd w:val="clear" w:fill="1F3864"/>
            <w:vAlign w:val="center"/>
          </w:tcPr>
          <w:p>
            <w:pPr>
              <w:spacing w:before="20" w:after="20"/>
              <w:jc w:val="center"/>
            </w:pPr>
            <w:r>
              <w:rPr>
                <w:rFonts w:ascii="游ゴシック" w:hAnsi="游ゴシック" w:eastAsia="游ゴシック"/>
                <w:b/>
                <w:i w:val="0"/>
                <w:color w:val="FFFFFF"/>
                <w:sz w:val="17"/>
              </w:rPr>
              <w:t>扱い</w:t>
            </w:r>
          </w:p>
        </w:tc>
      </w:tr>
      <w:tr>
        <w:tc>
          <w:tcPr>
            <w:tcW w:type="dxa" w:w="1701"/>
            <w:vAlign w:val="center"/>
          </w:tcPr>
          <w:p>
            <w:pPr>
              <w:spacing w:before="20" w:after="20"/>
            </w:pPr>
            <w:r>
              <w:rPr>
                <w:rFonts w:ascii="游ゴシック" w:hAnsi="游ゴシック" w:eastAsia="游ゴシック"/>
                <w:b w:val="0"/>
                <w:i w:val="0"/>
                <w:sz w:val="17"/>
              </w:rPr>
              <w:t>量（Ｑ）</w:t>
            </w:r>
          </w:p>
        </w:tc>
        <w:tc>
          <w:tcPr>
            <w:tcW w:type="dxa" w:w="1134"/>
            <w:vAlign w:val="center"/>
          </w:tcPr>
          <w:p>
            <w:pPr>
              <w:spacing w:before="20" w:after="20"/>
            </w:pPr>
            <w:r>
              <w:rPr>
                <w:rFonts w:ascii="游ゴシック" w:hAnsi="游ゴシック" w:eastAsia="游ゴシック"/>
                <w:b w:val="0"/>
                <w:i w:val="0"/>
                <w:sz w:val="17"/>
              </w:rPr>
              <w:t>33件</w:t>
            </w:r>
          </w:p>
        </w:tc>
        <w:tc>
          <w:tcPr>
            <w:tcW w:type="dxa" w:w="6917"/>
            <w:vAlign w:val="center"/>
          </w:tcPr>
          <w:p>
            <w:pPr>
              <w:spacing w:before="20" w:after="20"/>
            </w:pPr>
            <w:r>
              <w:rPr>
                <w:rFonts w:ascii="游ゴシック" w:hAnsi="游ゴシック" w:eastAsia="游ゴシック"/>
                <w:b w:val="0"/>
                <w:i w:val="0"/>
                <w:sz w:val="17"/>
              </w:rPr>
              <w:t>実績により毎年度測れる</w:t>
            </w:r>
          </w:p>
        </w:tc>
      </w:tr>
      <w:tr>
        <w:tc>
          <w:tcPr>
            <w:tcW w:type="dxa" w:w="1701"/>
            <w:vAlign w:val="center"/>
          </w:tcPr>
          <w:p>
            <w:pPr>
              <w:spacing w:before="20" w:after="20"/>
            </w:pPr>
            <w:r>
              <w:rPr>
                <w:rFonts w:ascii="游ゴシック" w:hAnsi="游ゴシック" w:eastAsia="游ゴシック"/>
                <w:b w:val="0"/>
                <w:i w:val="0"/>
                <w:sz w:val="17"/>
              </w:rPr>
              <w:t>体制（Ｔ）</w:t>
            </w:r>
          </w:p>
        </w:tc>
        <w:tc>
          <w:tcPr>
            <w:tcW w:type="dxa" w:w="1134"/>
            <w:vAlign w:val="center"/>
          </w:tcPr>
          <w:p>
            <w:pPr>
              <w:spacing w:before="20" w:after="20"/>
            </w:pPr>
            <w:r>
              <w:rPr>
                <w:rFonts w:ascii="游ゴシック" w:hAnsi="游ゴシック" w:eastAsia="游ゴシック"/>
                <w:b w:val="0"/>
                <w:i w:val="0"/>
                <w:sz w:val="17"/>
              </w:rPr>
              <w:t>8件</w:t>
            </w:r>
          </w:p>
        </w:tc>
        <w:tc>
          <w:tcPr>
            <w:tcW w:type="dxa" w:w="6917"/>
            <w:vAlign w:val="center"/>
          </w:tcPr>
          <w:p>
            <w:pPr>
              <w:spacing w:before="20" w:after="20"/>
            </w:pPr>
            <w:r>
              <w:rPr>
                <w:rFonts w:ascii="游ゴシック" w:hAnsi="游ゴシック" w:eastAsia="游ゴシック"/>
                <w:b w:val="0"/>
                <w:i w:val="0"/>
                <w:sz w:val="17"/>
              </w:rPr>
              <w:t>事実確認により毎年度測れる</w:t>
            </w:r>
          </w:p>
        </w:tc>
      </w:tr>
      <w:tr>
        <w:tc>
          <w:tcPr>
            <w:tcW w:type="dxa" w:w="1701"/>
            <w:vAlign w:val="center"/>
          </w:tcPr>
          <w:p>
            <w:pPr>
              <w:keepNext/>
              <w:spacing w:before="20" w:after="20"/>
            </w:pPr>
            <w:r>
              <w:rPr>
                <w:rFonts w:ascii="游ゴシック" w:hAnsi="游ゴシック" w:eastAsia="游ゴシック"/>
                <w:b/>
                <w:i w:val="0"/>
                <w:sz w:val="17"/>
              </w:rPr>
              <w:t>状態（Ｊ）</w:t>
            </w:r>
          </w:p>
        </w:tc>
        <w:tc>
          <w:tcPr>
            <w:tcW w:type="dxa" w:w="1134"/>
            <w:vAlign w:val="center"/>
          </w:tcPr>
          <w:p>
            <w:pPr>
              <w:keepNext/>
              <w:spacing w:before="20" w:after="20"/>
            </w:pPr>
            <w:r>
              <w:rPr>
                <w:rFonts w:ascii="游ゴシック" w:hAnsi="游ゴシック" w:eastAsia="游ゴシック"/>
                <w:b/>
                <w:i w:val="0"/>
                <w:sz w:val="17"/>
              </w:rPr>
              <w:t>6件</w:t>
            </w:r>
          </w:p>
        </w:tc>
        <w:tc>
          <w:tcPr>
            <w:tcW w:type="dxa" w:w="6917"/>
            <w:vAlign w:val="center"/>
          </w:tcPr>
          <w:p>
            <w:pPr>
              <w:keepNext/>
              <w:spacing w:before="20" w:after="20"/>
            </w:pPr>
            <w:r>
              <w:rPr>
                <w:rFonts w:ascii="游ゴシック" w:hAnsi="游ゴシック" w:eastAsia="游ゴシック"/>
                <w:b/>
                <w:i w:val="0"/>
                <w:sz w:val="17"/>
              </w:rPr>
              <w:t>調査でしか測れない。毎年度は測れない</w:t>
            </w:r>
          </w:p>
        </w:tc>
      </w:tr>
      <w:tr>
        <w:tc>
          <w:tcPr>
            <w:tcW w:type="dxa" w:w="1701"/>
            <w:vAlign w:val="center"/>
          </w:tcPr>
          <w:p>
            <w:pPr>
              <w:spacing w:before="20" w:after="20"/>
            </w:pPr>
            <w:r>
              <w:rPr>
                <w:rFonts w:ascii="游ゴシック" w:hAnsi="游ゴシック" w:eastAsia="游ゴシック"/>
                <w:b w:val="0"/>
                <w:i w:val="0"/>
                <w:sz w:val="17"/>
              </w:rPr>
              <w:t>指標でないもの</w:t>
            </w:r>
          </w:p>
        </w:tc>
        <w:tc>
          <w:tcPr>
            <w:tcW w:type="dxa" w:w="1134"/>
            <w:vAlign w:val="center"/>
          </w:tcPr>
          <w:p>
            <w:pPr>
              <w:spacing w:before="20" w:after="20"/>
            </w:pPr>
            <w:r>
              <w:rPr>
                <w:rFonts w:ascii="游ゴシック" w:hAnsi="游ゴシック" w:eastAsia="游ゴシック"/>
                <w:b w:val="0"/>
                <w:i w:val="0"/>
                <w:sz w:val="17"/>
              </w:rPr>
              <w:t>1件</w:t>
            </w:r>
          </w:p>
        </w:tc>
        <w:tc>
          <w:tcPr>
            <w:tcW w:type="dxa" w:w="6917"/>
            <w:vAlign w:val="center"/>
          </w:tcPr>
          <w:p>
            <w:pPr>
              <w:spacing w:before="20" w:after="20"/>
            </w:pPr>
            <w:r>
              <w:rPr>
                <w:rFonts w:ascii="游ゴシック" w:hAnsi="游ゴシック" w:eastAsia="游ゴシック"/>
                <w:b w:val="0"/>
                <w:i w:val="0"/>
                <w:sz w:val="17"/>
              </w:rPr>
              <w:t>目標値が「―」の参考値。年次評価の対象から外す</w:t>
            </w:r>
          </w:p>
        </w:tc>
      </w:tr>
    </w:tbl>
    <w:p>
      <w:pPr>
        <w:spacing w:after="40"/>
      </w:pPr>
    </w:p>
    <w:p>
      <w:pPr>
        <w:spacing w:before="60" w:after="60"/>
      </w:pPr>
      <w:r>
        <w:rPr>
          <w:rFonts w:ascii="游ゴシック" w:hAnsi="游ゴシック" w:eastAsia="游ゴシック"/>
          <w:b/>
          <w:i w:val="0"/>
          <w:sz w:val="21"/>
        </w:rPr>
        <w:t>毎年度測れないものが6件、仕様が決まっていないため測れないものが6件あります。</w:t>
      </w:r>
    </w:p>
    <w:p>
      <w:pPr>
        <w:spacing w:before="40" w:after="160"/>
        <w:ind w:left="113"/>
      </w:pPr>
      <w:r>
        <w:rPr>
          <w:rFonts w:ascii="游ゴシック" w:hAnsi="游ゴシック" w:eastAsia="游ゴシック"/>
          <w:b w:val="0"/>
          <w:i w:val="0"/>
          <w:sz w:val="17"/>
        </w:rPr>
        <w:t>※ 件数は素案の現物から数えたものです。指標が増減した場合は本書を作り直すと追随します。</w:t>
      </w:r>
    </w:p>
    <w:p>
      <w:pPr>
        <w:pStyle w:val="Heading2"/>
        <w:keepNext/>
        <w:spacing w:before="180" w:after="100"/>
      </w:pPr>
      <w:bookmarkStart w:id="105" w:name="_Toc_005"/>
      <w:r>
        <w:rPr>
          <w:rFonts w:ascii="游ゴシック" w:hAnsi="游ゴシック" w:eastAsia="游ゴシック"/>
          <w:b/>
          <w:i w:val="0"/>
          <w:color w:val="2E74B5"/>
          <w:sz w:val="25"/>
        </w:rPr>
        <w:t>2-1　毎年度測れないもの（調査でしか測れない）</w:t>
      </w:r>
      <w:bookmarkEnd w:id="105"/>
    </w:p>
    <w:p>
      <w:pPr>
        <w:spacing w:before="60" w:after="60"/>
      </w:pPr>
      <w:r>
        <w:rPr>
          <w:rFonts w:ascii="游ゴシック" w:hAnsi="游ゴシック" w:eastAsia="游ゴシック"/>
          <w:b/>
          <w:i w:val="0"/>
          <w:sz w:val="21"/>
        </w:rPr>
        <w:t>いずれも令和7年度調査の値です。</w:t>
      </w:r>
      <w:r>
        <w:rPr>
          <w:rFonts w:ascii="游ゴシック" w:hAnsi="游ゴシック" w:eastAsia="游ゴシック"/>
          <w:b w:val="0"/>
          <w:i w:val="0"/>
          <w:sz w:val="21"/>
        </w:rPr>
        <w:t xml:space="preserve"> 次に測れるのは次期調査（第11期の策定時）であり、</w:t>
      </w:r>
      <w:r>
        <w:rPr>
          <w:rFonts w:ascii="游ゴシック" w:hAnsi="游ゴシック" w:eastAsia="游ゴシック"/>
          <w:b/>
          <w:i w:val="0"/>
          <w:sz w:val="21"/>
        </w:rPr>
        <w:t>計画期間（令和9〜11年度）の各年度では測れません。</w:t>
      </w:r>
      <w:r>
        <w:rPr>
          <w:rFonts w:ascii="游ゴシック" w:hAnsi="游ゴシック" w:eastAsia="游ゴシック"/>
          <w:b w:val="0"/>
          <w:i w:val="0"/>
          <w:sz w:val="21"/>
        </w:rPr>
        <w:t xml:space="preserve"> 年次評価では資料編9の「評価できない」に当たります。</w:t>
      </w:r>
    </w:p>
    <w:p>
      <w:pPr>
        <w:keepNext/>
        <w:spacing w:before="200" w:after="40"/>
      </w:pPr>
      <w:r>
        <w:rPr>
          <w:rFonts w:ascii="游ゴシック" w:hAnsi="游ゴシック" w:eastAsia="游ゴシック"/>
          <w:b/>
          <w:i w:val="0"/>
          <w:color w:val="1F4D78"/>
          <w:sz w:val="22"/>
        </w:rPr>
        <w:t>【表3】毎年度測れない指標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3402"/>
        <w:gridCol w:w="2494"/>
        <w:gridCol w:w="3402"/>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置き換えられるか</w:t>
            </w:r>
          </w:p>
        </w:tc>
      </w:tr>
      <w:tr>
        <w:tc>
          <w:tcPr>
            <w:tcW w:type="dxa" w:w="454"/>
            <w:vAlign w:val="center"/>
          </w:tcPr>
          <w:p>
            <w:pPr>
              <w:spacing w:before="20" w:after="20"/>
            </w:pPr>
            <w:r>
              <w:rPr>
                <w:rFonts w:ascii="游ゴシック" w:hAnsi="游ゴシック" w:eastAsia="游ゴシック"/>
                <w:b w:val="0"/>
                <w:i w:val="0"/>
                <w:sz w:val="17"/>
              </w:rPr>
              <w:t>1</w:t>
            </w:r>
          </w:p>
        </w:tc>
        <w:tc>
          <w:tcPr>
            <w:tcW w:type="dxa" w:w="3402"/>
            <w:vAlign w:val="center"/>
          </w:tcPr>
          <w:p>
            <w:pPr>
              <w:spacing w:before="20" w:after="20"/>
            </w:pPr>
            <w:r>
              <w:rPr>
                <w:rFonts w:ascii="游ゴシック" w:hAnsi="游ゴシック" w:eastAsia="游ゴシック"/>
                <w:b w:val="0"/>
                <w:i w:val="0"/>
                <w:sz w:val="17"/>
              </w:rPr>
              <w:t>転倒リスク該当者の割合</w:t>
            </w:r>
          </w:p>
        </w:tc>
        <w:tc>
          <w:tcPr>
            <w:tcW w:type="dxa" w:w="2494"/>
            <w:vAlign w:val="center"/>
          </w:tcPr>
          <w:p>
            <w:pPr>
              <w:spacing w:before="20" w:after="20"/>
            </w:pPr>
            <w:r>
              <w:rPr>
                <w:rFonts w:ascii="游ゴシック" w:hAnsi="游ゴシック" w:eastAsia="游ゴシック"/>
                <w:b w:val="0"/>
                <w:i w:val="0"/>
                <w:sz w:val="17"/>
              </w:rPr>
              <w:t>36.5％</w:t>
            </w:r>
          </w:p>
        </w:tc>
        <w:tc>
          <w:tcPr>
            <w:tcW w:type="dxa" w:w="3402"/>
            <w:vAlign w:val="center"/>
          </w:tcPr>
          <w:p>
            <w:pPr>
              <w:spacing w:before="20" w:after="20"/>
            </w:pPr>
            <w:r>
              <w:rPr>
                <w:rFonts w:ascii="游ゴシック" w:hAnsi="游ゴシック" w:eastAsia="游ゴシック"/>
                <w:b w:val="0"/>
                <w:i w:val="0"/>
                <w:sz w:val="17"/>
              </w:rPr>
              <w:t>置き換え不能（状態そのもの）</w:t>
            </w:r>
          </w:p>
        </w:tc>
      </w:tr>
      <w:tr>
        <w:tc>
          <w:tcPr>
            <w:tcW w:type="dxa" w:w="454"/>
            <w:vAlign w:val="center"/>
          </w:tcPr>
          <w:p>
            <w:pPr>
              <w:spacing w:before="20" w:after="20"/>
            </w:pPr>
            <w:r>
              <w:rPr>
                <w:rFonts w:ascii="游ゴシック" w:hAnsi="游ゴシック" w:eastAsia="游ゴシック"/>
                <w:b w:val="0"/>
                <w:i w:val="0"/>
                <w:sz w:val="17"/>
              </w:rPr>
              <w:t>2</w:t>
            </w:r>
          </w:p>
        </w:tc>
        <w:tc>
          <w:tcPr>
            <w:tcW w:type="dxa" w:w="3402"/>
            <w:vAlign w:val="center"/>
          </w:tcPr>
          <w:p>
            <w:pPr>
              <w:spacing w:before="20" w:after="20"/>
            </w:pPr>
            <w:r>
              <w:rPr>
                <w:rFonts w:ascii="游ゴシック" w:hAnsi="游ゴシック" w:eastAsia="游ゴシック"/>
                <w:b w:val="0"/>
                <w:i w:val="0"/>
                <w:sz w:val="17"/>
              </w:rPr>
              <w:t>閉じこもり傾向該当者の割合</w:t>
            </w:r>
          </w:p>
        </w:tc>
        <w:tc>
          <w:tcPr>
            <w:tcW w:type="dxa" w:w="2494"/>
            <w:vAlign w:val="center"/>
          </w:tcPr>
          <w:p>
            <w:pPr>
              <w:spacing w:before="20" w:after="20"/>
            </w:pPr>
            <w:r>
              <w:rPr>
                <w:rFonts w:ascii="游ゴシック" w:hAnsi="游ゴシック" w:eastAsia="游ゴシック"/>
                <w:b w:val="0"/>
                <w:i w:val="0"/>
                <w:sz w:val="17"/>
              </w:rPr>
              <w:t>24.1％</w:t>
            </w:r>
          </w:p>
        </w:tc>
        <w:tc>
          <w:tcPr>
            <w:tcW w:type="dxa" w:w="3402"/>
            <w:vAlign w:val="center"/>
          </w:tcPr>
          <w:p>
            <w:pPr>
              <w:spacing w:before="20" w:after="20"/>
            </w:pPr>
            <w:r>
              <w:rPr>
                <w:rFonts w:ascii="游ゴシック" w:hAnsi="游ゴシック" w:eastAsia="游ゴシック"/>
                <w:b w:val="0"/>
                <w:i w:val="0"/>
                <w:sz w:val="17"/>
              </w:rPr>
              <w:t>置き換え不能（状態そのもの）</w:t>
            </w:r>
          </w:p>
        </w:tc>
      </w:tr>
      <w:tr>
        <w:tc>
          <w:tcPr>
            <w:tcW w:type="dxa" w:w="454"/>
            <w:vAlign w:val="center"/>
          </w:tcPr>
          <w:p>
            <w:pPr>
              <w:spacing w:before="20" w:after="20"/>
            </w:pPr>
            <w:r>
              <w:rPr>
                <w:rFonts w:ascii="游ゴシック" w:hAnsi="游ゴシック" w:eastAsia="游ゴシック"/>
                <w:b w:val="0"/>
                <w:i w:val="0"/>
                <w:sz w:val="17"/>
              </w:rPr>
              <w:t>3</w:t>
            </w:r>
          </w:p>
        </w:tc>
        <w:tc>
          <w:tcPr>
            <w:tcW w:type="dxa" w:w="3402"/>
            <w:vAlign w:val="center"/>
          </w:tcPr>
          <w:p>
            <w:pPr>
              <w:spacing w:before="20" w:after="20"/>
            </w:pPr>
            <w:r>
              <w:rPr>
                <w:rFonts w:ascii="游ゴシック" w:hAnsi="游ゴシック" w:eastAsia="游ゴシック"/>
                <w:b w:val="0"/>
                <w:i w:val="0"/>
                <w:sz w:val="17"/>
              </w:rPr>
              <w:t>社会的役割の低下該当者の割合</w:t>
            </w:r>
          </w:p>
        </w:tc>
        <w:tc>
          <w:tcPr>
            <w:tcW w:type="dxa" w:w="2494"/>
            <w:vAlign w:val="center"/>
          </w:tcPr>
          <w:p>
            <w:pPr>
              <w:spacing w:before="20" w:after="20"/>
            </w:pPr>
            <w:r>
              <w:rPr>
                <w:rFonts w:ascii="游ゴシック" w:hAnsi="游ゴシック" w:eastAsia="游ゴシック"/>
                <w:b w:val="0"/>
                <w:i w:val="0"/>
                <w:sz w:val="17"/>
              </w:rPr>
              <w:t>47.7％</w:t>
            </w:r>
          </w:p>
        </w:tc>
        <w:tc>
          <w:tcPr>
            <w:tcW w:type="dxa" w:w="3402"/>
            <w:vAlign w:val="center"/>
          </w:tcPr>
          <w:p>
            <w:pPr>
              <w:spacing w:before="20" w:after="20"/>
            </w:pPr>
            <w:r>
              <w:rPr>
                <w:rFonts w:ascii="游ゴシック" w:hAnsi="游ゴシック" w:eastAsia="游ゴシック"/>
                <w:b w:val="0"/>
                <w:i w:val="0"/>
                <w:sz w:val="17"/>
              </w:rPr>
              <w:t>置き換え不能（状態そのもの）</w:t>
            </w:r>
          </w:p>
        </w:tc>
      </w:tr>
      <w:tr>
        <w:tc>
          <w:tcPr>
            <w:tcW w:type="dxa" w:w="454"/>
            <w:vAlign w:val="center"/>
          </w:tcPr>
          <w:p>
            <w:pPr>
              <w:spacing w:before="20" w:after="20"/>
            </w:pPr>
            <w:r>
              <w:rPr>
                <w:rFonts w:ascii="游ゴシック" w:hAnsi="游ゴシック" w:eastAsia="游ゴシック"/>
                <w:b w:val="0"/>
                <w:i w:val="0"/>
                <w:sz w:val="17"/>
              </w:rPr>
              <w:t>4</w:t>
            </w:r>
          </w:p>
        </w:tc>
        <w:tc>
          <w:tcPr>
            <w:tcW w:type="dxa" w:w="3402"/>
            <w:vAlign w:val="center"/>
          </w:tcPr>
          <w:p>
            <w:pPr>
              <w:spacing w:before="20" w:after="20"/>
            </w:pPr>
            <w:r>
              <w:rPr>
                <w:rFonts w:ascii="游ゴシック" w:hAnsi="游ゴシック" w:eastAsia="游ゴシック"/>
                <w:b w:val="0"/>
                <w:i w:val="0"/>
                <w:sz w:val="17"/>
              </w:rPr>
              <w:t>地域包括支援センターの認知度</w:t>
            </w:r>
          </w:p>
        </w:tc>
        <w:tc>
          <w:tcPr>
            <w:tcW w:type="dxa" w:w="2494"/>
            <w:vAlign w:val="center"/>
          </w:tcPr>
          <w:p>
            <w:pPr>
              <w:spacing w:before="20" w:after="20"/>
            </w:pPr>
            <w:r>
              <w:rPr>
                <w:rFonts w:ascii="游ゴシック" w:hAnsi="游ゴシック" w:eastAsia="游ゴシック"/>
                <w:b w:val="0"/>
                <w:i w:val="0"/>
                <w:sz w:val="17"/>
              </w:rPr>
              <w:t>19.2％（相談先として挙げた割合）</w:t>
            </w:r>
          </w:p>
        </w:tc>
        <w:tc>
          <w:tcPr>
            <w:tcW w:type="dxa" w:w="3402"/>
            <w:vAlign w:val="center"/>
          </w:tcPr>
          <w:p>
            <w:pPr>
              <w:spacing w:before="20" w:after="20"/>
            </w:pPr>
            <w:r>
              <w:rPr>
                <w:rFonts w:ascii="游ゴシック" w:hAnsi="游ゴシック" w:eastAsia="游ゴシック"/>
                <w:b/>
                <w:i w:val="0"/>
                <w:sz w:val="17"/>
              </w:rPr>
              <w:t>置き換え可</w:t>
            </w:r>
          </w:p>
        </w:tc>
      </w:tr>
      <w:tr>
        <w:tc>
          <w:tcPr>
            <w:tcW w:type="dxa" w:w="454"/>
            <w:vAlign w:val="center"/>
          </w:tcPr>
          <w:p>
            <w:pPr>
              <w:keepNext/>
              <w:spacing w:before="20" w:after="20"/>
            </w:pPr>
            <w:r>
              <w:rPr>
                <w:rFonts w:ascii="游ゴシック" w:hAnsi="游ゴシック" w:eastAsia="游ゴシック"/>
                <w:b w:val="0"/>
                <w:i w:val="0"/>
                <w:sz w:val="17"/>
              </w:rPr>
              <w:t>5</w:t>
            </w:r>
          </w:p>
        </w:tc>
        <w:tc>
          <w:tcPr>
            <w:tcW w:type="dxa" w:w="3402"/>
            <w:vAlign w:val="center"/>
          </w:tcPr>
          <w:p>
            <w:pPr>
              <w:keepNext/>
              <w:spacing w:before="20" w:after="20"/>
            </w:pPr>
            <w:r>
              <w:rPr>
                <w:rFonts w:ascii="游ゴシック" w:hAnsi="游ゴシック" w:eastAsia="游ゴシック"/>
                <w:b w:val="0"/>
                <w:i w:val="0"/>
                <w:sz w:val="17"/>
              </w:rPr>
              <w:t>認知症に関する相談窓口の認知度</w:t>
            </w:r>
          </w:p>
        </w:tc>
        <w:tc>
          <w:tcPr>
            <w:tcW w:type="dxa" w:w="2494"/>
            <w:vAlign w:val="center"/>
          </w:tcPr>
          <w:p>
            <w:pPr>
              <w:keepNext/>
              <w:spacing w:before="20" w:after="20"/>
            </w:pPr>
            <w:r>
              <w:rPr>
                <w:rFonts w:ascii="游ゴシック" w:hAnsi="游ゴシック" w:eastAsia="游ゴシック"/>
                <w:b w:val="0"/>
                <w:i w:val="0"/>
                <w:sz w:val="17"/>
              </w:rPr>
              <w:t>33.2％（令和7年度調査）</w:t>
            </w:r>
          </w:p>
        </w:tc>
        <w:tc>
          <w:tcPr>
            <w:tcW w:type="dxa" w:w="3402"/>
            <w:vAlign w:val="center"/>
          </w:tcPr>
          <w:p>
            <w:pPr>
              <w:keepNext/>
              <w:spacing w:before="20" w:after="20"/>
            </w:pPr>
            <w:r>
              <w:rPr>
                <w:rFonts w:ascii="游ゴシック" w:hAnsi="游ゴシック" w:eastAsia="游ゴシック"/>
                <w:b/>
                <w:i w:val="0"/>
                <w:sz w:val="17"/>
              </w:rPr>
              <w:t>置き換え可</w:t>
            </w:r>
          </w:p>
        </w:tc>
      </w:tr>
      <w:tr>
        <w:tc>
          <w:tcPr>
            <w:tcW w:type="dxa" w:w="454"/>
            <w:vAlign w:val="center"/>
          </w:tcPr>
          <w:p>
            <w:pPr>
              <w:spacing w:before="20" w:after="20"/>
            </w:pPr>
            <w:r>
              <w:rPr>
                <w:rFonts w:ascii="游ゴシック" w:hAnsi="游ゴシック" w:eastAsia="游ゴシック"/>
                <w:b w:val="0"/>
                <w:i w:val="0"/>
                <w:sz w:val="17"/>
              </w:rPr>
              <w:t>6</w:t>
            </w:r>
          </w:p>
        </w:tc>
        <w:tc>
          <w:tcPr>
            <w:tcW w:type="dxa" w:w="3402"/>
            <w:vAlign w:val="center"/>
          </w:tcPr>
          <w:p>
            <w:pPr>
              <w:spacing w:before="20" w:after="20"/>
            </w:pPr>
            <w:r>
              <w:rPr>
                <w:rFonts w:ascii="游ゴシック" w:hAnsi="游ゴシック" w:eastAsia="游ゴシック"/>
                <w:b w:val="0"/>
                <w:i w:val="0"/>
                <w:sz w:val="17"/>
              </w:rPr>
              <w:t>サービス未利用者の割合</w:t>
            </w:r>
          </w:p>
        </w:tc>
        <w:tc>
          <w:tcPr>
            <w:tcW w:type="dxa" w:w="2494"/>
            <w:vAlign w:val="center"/>
          </w:tcPr>
          <w:p>
            <w:pPr>
              <w:spacing w:before="20" w:after="20"/>
            </w:pPr>
            <w:r>
              <w:rPr>
                <w:rFonts w:ascii="游ゴシック" w:hAnsi="游ゴシック" w:eastAsia="游ゴシック"/>
                <w:b w:val="0"/>
                <w:i w:val="0"/>
                <w:sz w:val="17"/>
              </w:rPr>
              <w:t>42.1％</w:t>
            </w:r>
          </w:p>
        </w:tc>
        <w:tc>
          <w:tcPr>
            <w:tcW w:type="dxa" w:w="3402"/>
            <w:vAlign w:val="center"/>
          </w:tcPr>
          <w:p>
            <w:pPr>
              <w:spacing w:before="20" w:after="20"/>
            </w:pPr>
            <w:r>
              <w:rPr>
                <w:rFonts w:ascii="游ゴシック" w:hAnsi="游ゴシック" w:eastAsia="游ゴシック"/>
                <w:b/>
                <w:i w:val="0"/>
                <w:sz w:val="17"/>
              </w:rPr>
              <w:t>置き換え可</w:t>
            </w:r>
          </w:p>
        </w:tc>
      </w:tr>
    </w:tbl>
    <w:p>
      <w:pPr>
        <w:spacing w:after="40"/>
      </w:pPr>
    </w:p>
    <w:p>
      <w:pPr>
        <w:spacing w:before="60" w:after="60"/>
      </w:pPr>
      <w:r>
        <w:rPr>
          <w:rFonts w:ascii="游ゴシック" w:hAnsi="游ゴシック" w:eastAsia="游ゴシック"/>
          <w:b/>
          <w:i w:val="0"/>
          <w:sz w:val="21"/>
        </w:rPr>
        <w:t>置き換えの考え方。</w:t>
      </w:r>
      <w:r>
        <w:rPr>
          <w:rFonts w:ascii="游ゴシック" w:hAnsi="游ゴシック" w:eastAsia="游ゴシック"/>
          <w:b w:val="0"/>
          <w:i w:val="0"/>
          <w:sz w:val="21"/>
        </w:rPr>
        <w:t xml:space="preserve"> 「通いの場への参加率」と「サービス未利用者の割合」は、町実績または年報による算式に置き換えられます。ただし</w:t>
      </w:r>
      <w:r>
        <w:rPr>
          <w:rFonts w:ascii="游ゴシック" w:hAnsi="游ゴシック" w:eastAsia="游ゴシック"/>
          <w:b/>
          <w:i w:val="0"/>
          <w:sz w:val="21"/>
        </w:rPr>
        <w:t>調査の値と置き換え後の値は別物であり、並べて比べてはいけません。</w:t>
      </w:r>
      <w:r>
        <w:rPr>
          <w:rFonts w:ascii="游ゴシック" w:hAnsi="游ゴシック" w:eastAsia="游ゴシック"/>
          <w:b w:val="0"/>
          <w:i w:val="0"/>
          <w:sz w:val="21"/>
        </w:rPr>
        <w:t xml:space="preserve"> 一方、転倒リスク・閉じこもり傾向・社会的役割の低下は</w:t>
      </w:r>
      <w:r>
        <w:rPr>
          <w:rFonts w:ascii="游ゴシック" w:hAnsi="游ゴシック" w:eastAsia="游ゴシック"/>
          <w:b/>
          <w:i w:val="0"/>
          <w:sz w:val="21"/>
        </w:rPr>
        <w:t>状態そのもの</w:t>
      </w:r>
      <w:r>
        <w:rPr>
          <w:rFonts w:ascii="游ゴシック" w:hAnsi="游ゴシック" w:eastAsia="游ゴシック"/>
          <w:b w:val="0"/>
          <w:i w:val="0"/>
          <w:sz w:val="21"/>
        </w:rPr>
        <w:t>であり、実績では測れません。これらは</w:t>
      </w:r>
      <w:r>
        <w:rPr>
          <w:rFonts w:ascii="游ゴシック" w:hAnsi="游ゴシック" w:eastAsia="游ゴシック"/>
          <w:b/>
          <w:i w:val="0"/>
          <w:sz w:val="21"/>
        </w:rPr>
        <w:t>基準年と次期調査の2時点でのみ測る</w:t>
      </w:r>
      <w:r>
        <w:rPr>
          <w:rFonts w:ascii="游ゴシック" w:hAnsi="游ゴシック" w:eastAsia="游ゴシック"/>
          <w:b w:val="0"/>
          <w:i w:val="0"/>
          <w:sz w:val="21"/>
        </w:rPr>
        <w:t>ことを明示します。</w:t>
      </w:r>
    </w:p>
    <w:p>
      <w:pPr>
        <w:spacing w:before="60" w:after="60"/>
      </w:pPr>
      <w:r>
        <w:rPr>
          <w:rFonts w:ascii="游ゴシック" w:hAnsi="游ゴシック" w:eastAsia="游ゴシック"/>
          <w:b/>
          <w:i w:val="0"/>
          <w:sz w:val="21"/>
        </w:rPr>
        <w:t>認知度の2件</w:t>
      </w:r>
      <w:r>
        <w:rPr>
          <w:rFonts w:ascii="游ゴシック" w:hAnsi="游ゴシック" w:eastAsia="游ゴシック"/>
          <w:b w:val="0"/>
          <w:i w:val="0"/>
          <w:sz w:val="21"/>
        </w:rPr>
        <w:t>（地域包括支援センター・認知症の相談窓口）は、毎年度測るなら</w:t>
      </w:r>
      <w:r>
        <w:rPr>
          <w:rFonts w:ascii="游ゴシック" w:hAnsi="游ゴシック" w:eastAsia="游ゴシック"/>
          <w:b/>
          <w:i w:val="0"/>
          <w:sz w:val="21"/>
        </w:rPr>
        <w:t>周知の回数</w:t>
      </w:r>
      <w:r>
        <w:rPr>
          <w:rFonts w:ascii="游ゴシック" w:hAnsi="游ゴシック" w:eastAsia="游ゴシック"/>
          <w:b w:val="0"/>
          <w:i w:val="0"/>
          <w:sz w:val="21"/>
        </w:rPr>
        <w:t>に置き換えられますが、周知の回数は認知度そのものではありません。どちらを目標値にするかを協議会にお諮りします。</w:t>
      </w:r>
    </w:p>
    <w:p>
      <w:pPr>
        <w:spacing w:after="120"/>
      </w:pPr>
    </w:p>
    <w:p>
      <w:pPr>
        <w:spacing w:before="60" w:after="60"/>
      </w:pPr>
      <w:r>
        <w:rPr>
          <w:rFonts w:ascii="游ゴシック" w:hAnsi="游ゴシック" w:eastAsia="游ゴシック"/>
          <w:b/>
          <w:i w:val="0"/>
          <w:sz w:val="21"/>
        </w:rPr>
        <w:t>置き換えを前提に○としたものが1件あります。</w:t>
      </w:r>
    </w:p>
    <w:p>
      <w:pPr>
        <w:keepNext/>
        <w:spacing w:before="200" w:after="40"/>
      </w:pPr>
      <w:r>
        <w:rPr>
          <w:rFonts w:ascii="游ゴシック" w:hAnsi="游ゴシック" w:eastAsia="游ゴシック"/>
          <w:b/>
          <w:i w:val="0"/>
          <w:color w:val="1F4D78"/>
          <w:sz w:val="22"/>
        </w:rPr>
        <w:t>【表4】置き換えを前提に毎年度○としたもの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1"/>
        <w:gridCol w:w="2268"/>
        <w:gridCol w:w="3175"/>
        <w:gridCol w:w="1928"/>
      </w:tblGrid>
      <w:tr>
        <w:tc>
          <w:tcPr>
            <w:tcW w:type="dxa" w:w="2381"/>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素案の現状値</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置き換えた算式</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注意</w:t>
            </w:r>
          </w:p>
        </w:tc>
      </w:tr>
      <w:tr>
        <w:tc>
          <w:tcPr>
            <w:tcW w:type="dxa" w:w="2381"/>
            <w:vAlign w:val="center"/>
          </w:tcPr>
          <w:p>
            <w:pPr>
              <w:spacing w:before="20" w:after="20"/>
            </w:pPr>
            <w:r>
              <w:rPr>
                <w:rFonts w:ascii="游ゴシック" w:hAnsi="游ゴシック" w:eastAsia="游ゴシック"/>
                <w:b w:val="0"/>
                <w:i w:val="0"/>
                <w:sz w:val="17"/>
              </w:rPr>
              <w:t>通いの場への参加率（65歳以上）</w:t>
            </w:r>
          </w:p>
        </w:tc>
        <w:tc>
          <w:tcPr>
            <w:tcW w:type="dxa" w:w="2268"/>
            <w:vAlign w:val="center"/>
          </w:tcPr>
          <w:p>
            <w:pPr>
              <w:spacing w:before="20" w:after="20"/>
            </w:pPr>
            <w:r>
              <w:rPr>
                <w:rFonts w:ascii="游ゴシック" w:hAnsi="游ゴシック" w:eastAsia="游ゴシック"/>
                <w:b w:val="0"/>
                <w:i w:val="0"/>
                <w:sz w:val="17"/>
              </w:rPr>
              <w:t>13.8％（調査）</w:t>
            </w:r>
          </w:p>
        </w:tc>
        <w:tc>
          <w:tcPr>
            <w:tcW w:type="dxa" w:w="3175"/>
            <w:vAlign w:val="center"/>
          </w:tcPr>
          <w:p>
            <w:pPr>
              <w:spacing w:before="20" w:after="20"/>
            </w:pPr>
            <w:r>
              <w:rPr>
                <w:rFonts w:ascii="游ゴシック" w:hAnsi="游ゴシック" w:eastAsia="游ゴシック"/>
                <w:b w:val="0"/>
                <w:i w:val="0"/>
                <w:sz w:val="17"/>
              </w:rPr>
              <w:t>参加者の実人数 ÷ 第1号被保険者数</w:t>
            </w:r>
          </w:p>
        </w:tc>
        <w:tc>
          <w:tcPr>
            <w:tcW w:type="dxa" w:w="1928"/>
            <w:vAlign w:val="center"/>
          </w:tcPr>
          <w:p>
            <w:pPr>
              <w:spacing w:before="20" w:after="20"/>
            </w:pPr>
            <w:r>
              <w:rPr>
                <w:rFonts w:ascii="游ゴシック" w:hAnsi="游ゴシック" w:eastAsia="游ゴシック"/>
                <w:b/>
                <w:i w:val="0"/>
                <w:sz w:val="17"/>
              </w:rPr>
              <w:t>調査の値と並べて比べない</w:t>
            </w:r>
          </w:p>
        </w:tc>
      </w:tr>
    </w:tbl>
    <w:p>
      <w:pPr>
        <w:spacing w:after="40"/>
      </w:pPr>
    </w:p>
    <w:p>
      <w:pPr>
        <w:spacing w:before="60" w:after="60"/>
      </w:pPr>
      <w:r>
        <w:rPr>
          <w:rFonts w:ascii="游ゴシック" w:hAnsi="游ゴシック" w:eastAsia="游ゴシック"/>
          <w:b/>
          <w:i w:val="0"/>
          <w:sz w:val="21"/>
        </w:rPr>
        <w:t>この指標は、素案の現状値が調査の値である一方、仕様としては町実績による算式に置き換えています。</w:t>
      </w:r>
      <w:r>
        <w:rPr>
          <w:rFonts w:ascii="游ゴシック" w:hAnsi="游ゴシック" w:eastAsia="游ゴシック"/>
          <w:b w:val="0"/>
          <w:i w:val="0"/>
          <w:sz w:val="21"/>
        </w:rPr>
        <w:t xml:space="preserve"> したがって、素案の現状値をそのまま基準値に使うことはできません。</w:t>
      </w:r>
      <w:r>
        <w:rPr>
          <w:rFonts w:ascii="游ゴシック" w:hAnsi="游ゴシック" w:eastAsia="游ゴシック"/>
          <w:b/>
          <w:i w:val="0"/>
          <w:sz w:val="21"/>
        </w:rPr>
        <w:t>町実績による基準値を取り直す必要があります。</w:t>
      </w:r>
    </w:p>
    <w:p>
      <w:pPr>
        <w:pStyle w:val="Heading2"/>
        <w:keepNext/>
        <w:spacing w:before="180" w:after="100"/>
      </w:pPr>
      <w:bookmarkStart w:id="106" w:name="_Toc_006"/>
      <w:r>
        <w:rPr>
          <w:rFonts w:ascii="游ゴシック" w:hAnsi="游ゴシック" w:eastAsia="游ゴシック"/>
          <w:b/>
          <w:i w:val="0"/>
          <w:color w:val="2E74B5"/>
          <w:sz w:val="25"/>
        </w:rPr>
        <w:t>2-2　仕様が決まっていないもの</w:t>
      </w:r>
      <w:bookmarkEnd w:id="106"/>
    </w:p>
    <w:p>
      <w:pPr>
        <w:keepNext/>
        <w:spacing w:before="200" w:after="40"/>
      </w:pPr>
      <w:r>
        <w:rPr>
          <w:rFonts w:ascii="游ゴシック" w:hAnsi="游ゴシック" w:eastAsia="游ゴシック"/>
          <w:b/>
          <w:i w:val="0"/>
          <w:color w:val="1F4D78"/>
          <w:sz w:val="22"/>
        </w:rPr>
        <w:t>【表5】仕様が決まっていない指標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2835"/>
        <w:gridCol w:w="6463"/>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6463"/>
            <w:shd w:val="clear" w:fill="1F3864"/>
            <w:vAlign w:val="center"/>
          </w:tcPr>
          <w:p>
            <w:pPr>
              <w:spacing w:before="20" w:after="20"/>
              <w:jc w:val="center"/>
            </w:pPr>
            <w:r>
              <w:rPr>
                <w:rFonts w:ascii="游ゴシック" w:hAnsi="游ゴシック" w:eastAsia="游ゴシック"/>
                <w:b/>
                <w:i w:val="0"/>
                <w:color w:val="FFFFFF"/>
                <w:sz w:val="17"/>
              </w:rPr>
              <w:t>決まっていないこと</w:t>
            </w:r>
          </w:p>
        </w:tc>
      </w:tr>
      <w:tr>
        <w:tc>
          <w:tcPr>
            <w:tcW w:type="dxa" w:w="454"/>
            <w:vAlign w:val="center"/>
          </w:tcPr>
          <w:p>
            <w:pPr>
              <w:spacing w:before="20" w:after="20"/>
            </w:pPr>
            <w:r>
              <w:rPr>
                <w:rFonts w:ascii="游ゴシック" w:hAnsi="游ゴシック" w:eastAsia="游ゴシック"/>
                <w:b w:val="0"/>
                <w:i w:val="0"/>
                <w:sz w:val="17"/>
              </w:rPr>
              <w:t>1</w:t>
            </w:r>
          </w:p>
        </w:tc>
        <w:tc>
          <w:tcPr>
            <w:tcW w:type="dxa" w:w="2835"/>
            <w:vAlign w:val="center"/>
          </w:tcPr>
          <w:p>
            <w:pPr>
              <w:spacing w:before="20" w:after="20"/>
            </w:pPr>
            <w:r>
              <w:rPr>
                <w:rFonts w:ascii="游ゴシック" w:hAnsi="游ゴシック" w:eastAsia="游ゴシック"/>
                <w:b w:val="0"/>
                <w:i w:val="0"/>
                <w:sz w:val="17"/>
              </w:rPr>
              <w:t>生活支援コーディネーターの活動実績</w:t>
            </w:r>
          </w:p>
        </w:tc>
        <w:tc>
          <w:tcPr>
            <w:tcW w:type="dxa" w:w="6463"/>
            <w:vAlign w:val="center"/>
          </w:tcPr>
          <w:p>
            <w:pPr>
              <w:spacing w:before="20" w:after="20"/>
            </w:pPr>
            <w:r>
              <w:rPr>
                <w:rFonts w:ascii="游ゴシック" w:hAnsi="游ゴシック" w:eastAsia="游ゴシック"/>
                <w:b/>
                <w:i w:val="0"/>
                <w:sz w:val="17"/>
              </w:rPr>
              <w:t>指標名が「活動実績」のままで、数えるものが定まっていない。</w:t>
            </w:r>
            <w:r>
              <w:rPr>
                <w:rFonts w:ascii="游ゴシック" w:hAnsi="游ゴシック" w:eastAsia="游ゴシック"/>
                <w:b w:val="0"/>
                <w:i w:val="0"/>
                <w:sz w:val="17"/>
              </w:rPr>
              <w:t>支援した通いの場の数／関係機関との会議の回数／個別の相談の件数のいずれかに決める。決めないと測れない</w:t>
            </w:r>
          </w:p>
        </w:tc>
      </w:tr>
      <w:tr>
        <w:tc>
          <w:tcPr>
            <w:tcW w:type="dxa" w:w="454"/>
            <w:vAlign w:val="center"/>
          </w:tcPr>
          <w:p>
            <w:pPr>
              <w:spacing w:before="20" w:after="20"/>
            </w:pPr>
            <w:r>
              <w:rPr>
                <w:rFonts w:ascii="游ゴシック" w:hAnsi="游ゴシック" w:eastAsia="游ゴシック"/>
                <w:b w:val="0"/>
                <w:i w:val="0"/>
                <w:sz w:val="17"/>
              </w:rPr>
              <w:t>2</w:t>
            </w:r>
          </w:p>
        </w:tc>
        <w:tc>
          <w:tcPr>
            <w:tcW w:type="dxa" w:w="2835"/>
            <w:vAlign w:val="center"/>
          </w:tcPr>
          <w:p>
            <w:pPr>
              <w:spacing w:before="20" w:after="20"/>
            </w:pPr>
            <w:r>
              <w:rPr>
                <w:rFonts w:ascii="游ゴシック" w:hAnsi="游ゴシック" w:eastAsia="游ゴシック"/>
                <w:b w:val="0"/>
                <w:i w:val="0"/>
                <w:sz w:val="17"/>
              </w:rPr>
              <w:t>地域の支え合い活動の把握件数</w:t>
            </w:r>
          </w:p>
        </w:tc>
        <w:tc>
          <w:tcPr>
            <w:tcW w:type="dxa" w:w="6463"/>
            <w:vAlign w:val="center"/>
          </w:tcPr>
          <w:p>
            <w:pPr>
              <w:spacing w:before="20" w:after="20"/>
            </w:pPr>
            <w:r>
              <w:rPr>
                <w:rFonts w:ascii="游ゴシック" w:hAnsi="游ゴシック" w:eastAsia="游ゴシック"/>
                <w:b/>
                <w:i w:val="0"/>
                <w:sz w:val="17"/>
              </w:rPr>
              <w:t>「把握」の範囲が定まっていない。</w:t>
            </w:r>
            <w:r>
              <w:rPr>
                <w:rFonts w:ascii="游ゴシック" w:hAnsi="游ゴシック" w:eastAsia="游ゴシック"/>
                <w:b w:val="0"/>
                <w:i w:val="0"/>
                <w:sz w:val="17"/>
              </w:rPr>
              <w:t>町が台帳に載せたものに限るか、生活支援コーディネーターが聞き取ったものを含むかを決める</w:t>
            </w:r>
          </w:p>
        </w:tc>
      </w:tr>
      <w:tr>
        <w:tc>
          <w:tcPr>
            <w:tcW w:type="dxa" w:w="454"/>
            <w:vAlign w:val="center"/>
          </w:tcPr>
          <w:p>
            <w:pPr>
              <w:spacing w:before="20" w:after="20"/>
            </w:pPr>
            <w:r>
              <w:rPr>
                <w:rFonts w:ascii="游ゴシック" w:hAnsi="游ゴシック" w:eastAsia="游ゴシック"/>
                <w:b w:val="0"/>
                <w:i w:val="0"/>
                <w:sz w:val="17"/>
              </w:rPr>
              <w:t>3</w:t>
            </w:r>
          </w:p>
        </w:tc>
        <w:tc>
          <w:tcPr>
            <w:tcW w:type="dxa" w:w="2835"/>
            <w:vAlign w:val="center"/>
          </w:tcPr>
          <w:p>
            <w:pPr>
              <w:spacing w:before="20" w:after="20"/>
            </w:pPr>
            <w:r>
              <w:rPr>
                <w:rFonts w:ascii="游ゴシック" w:hAnsi="游ゴシック" w:eastAsia="游ゴシック"/>
                <w:b w:val="0"/>
                <w:i w:val="0"/>
                <w:sz w:val="17"/>
              </w:rPr>
              <w:t>認知症地域支援推進員の活動実績</w:t>
            </w:r>
          </w:p>
        </w:tc>
        <w:tc>
          <w:tcPr>
            <w:tcW w:type="dxa" w:w="6463"/>
            <w:vAlign w:val="center"/>
          </w:tcPr>
          <w:p>
            <w:pPr>
              <w:spacing w:before="20" w:after="20"/>
            </w:pPr>
            <w:r>
              <w:rPr>
                <w:rFonts w:ascii="游ゴシック" w:hAnsi="游ゴシック" w:eastAsia="游ゴシック"/>
                <w:b/>
                <w:i w:val="0"/>
                <w:sz w:val="17"/>
              </w:rPr>
              <w:t>現状値が「配置4人」で、これは体制（Ｔ）である。指標名の「活動実績」（Ｑ）と合っていない。</w:t>
            </w:r>
            <w:r>
              <w:rPr>
                <w:rFonts w:ascii="游ゴシック" w:hAnsi="游ゴシック" w:eastAsia="游ゴシック"/>
                <w:b w:val="0"/>
                <w:i w:val="0"/>
                <w:sz w:val="17"/>
              </w:rPr>
              <w:t>配置人数を指標とするか、活動の回数・件数を指標とするかを決める</w:t>
            </w:r>
          </w:p>
        </w:tc>
      </w:tr>
      <w:tr>
        <w:tc>
          <w:tcPr>
            <w:tcW w:type="dxa" w:w="454"/>
            <w:vAlign w:val="center"/>
          </w:tcPr>
          <w:p>
            <w:pPr>
              <w:spacing w:before="20" w:after="20"/>
            </w:pPr>
            <w:r>
              <w:rPr>
                <w:rFonts w:ascii="游ゴシック" w:hAnsi="游ゴシック" w:eastAsia="游ゴシック"/>
                <w:b w:val="0"/>
                <w:i w:val="0"/>
                <w:sz w:val="17"/>
              </w:rPr>
              <w:t>4</w:t>
            </w:r>
          </w:p>
        </w:tc>
        <w:tc>
          <w:tcPr>
            <w:tcW w:type="dxa" w:w="2835"/>
            <w:vAlign w:val="center"/>
          </w:tcPr>
          <w:p>
            <w:pPr>
              <w:spacing w:before="20" w:after="20"/>
            </w:pPr>
            <w:r>
              <w:rPr>
                <w:rFonts w:ascii="游ゴシック" w:hAnsi="游ゴシック" w:eastAsia="游ゴシック"/>
                <w:b w:val="0"/>
                <w:i w:val="0"/>
                <w:sz w:val="17"/>
              </w:rPr>
              <w:t>要介護度の維持・改善率</w:t>
            </w:r>
          </w:p>
        </w:tc>
        <w:tc>
          <w:tcPr>
            <w:tcW w:type="dxa" w:w="6463"/>
            <w:vAlign w:val="center"/>
          </w:tcPr>
          <w:p>
            <w:pPr>
              <w:spacing w:before="20" w:after="20"/>
            </w:pPr>
            <w:r>
              <w:rPr>
                <w:rFonts w:ascii="游ゴシック" w:hAnsi="游ゴシック" w:eastAsia="游ゴシック"/>
                <w:b/>
                <w:i w:val="0"/>
                <w:sz w:val="17"/>
              </w:rPr>
              <w:t>一定期間後に要介護度が維持または改善した方の割合</w:t>
            </w:r>
            <w:r>
              <w:rPr>
                <w:rFonts w:ascii="游ゴシック" w:hAnsi="游ゴシック" w:eastAsia="游ゴシック"/>
                <w:b w:val="0"/>
                <w:i w:val="0"/>
                <w:sz w:val="17"/>
              </w:rPr>
              <w:t>とするのが一般的だが、期間（12か月か）と対象（新規認定者か全認定者か）を決めないと測れない。見える化に同種の指標がある</w:t>
            </w:r>
          </w:p>
        </w:tc>
      </w:tr>
      <w:tr>
        <w:tc>
          <w:tcPr>
            <w:tcW w:type="dxa" w:w="454"/>
            <w:vAlign w:val="center"/>
          </w:tcPr>
          <w:p>
            <w:pPr>
              <w:keepNext/>
              <w:spacing w:before="20" w:after="20"/>
            </w:pPr>
            <w:r>
              <w:rPr>
                <w:rFonts w:ascii="游ゴシック" w:hAnsi="游ゴシック" w:eastAsia="游ゴシック"/>
                <w:b w:val="0"/>
                <w:i w:val="0"/>
                <w:sz w:val="17"/>
              </w:rPr>
              <w:t>5</w:t>
            </w:r>
          </w:p>
        </w:tc>
        <w:tc>
          <w:tcPr>
            <w:tcW w:type="dxa" w:w="2835"/>
            <w:vAlign w:val="center"/>
          </w:tcPr>
          <w:p>
            <w:pPr>
              <w:keepNext/>
              <w:spacing w:before="20" w:after="20"/>
            </w:pPr>
            <w:r>
              <w:rPr>
                <w:rFonts w:ascii="游ゴシック" w:hAnsi="游ゴシック" w:eastAsia="游ゴシック"/>
                <w:b w:val="0"/>
                <w:i w:val="0"/>
                <w:sz w:val="17"/>
              </w:rPr>
              <w:t>在宅サービス受給率</w:t>
            </w:r>
          </w:p>
        </w:tc>
        <w:tc>
          <w:tcPr>
            <w:tcW w:type="dxa" w:w="6463"/>
            <w:vAlign w:val="center"/>
          </w:tcPr>
          <w:p>
            <w:pPr>
              <w:keepNext/>
              <w:spacing w:before="20" w:after="20"/>
            </w:pPr>
            <w:r>
              <w:rPr>
                <w:rFonts w:ascii="游ゴシック" w:hAnsi="游ゴシック" w:eastAsia="游ゴシック"/>
                <w:b/>
                <w:i w:val="0"/>
                <w:sz w:val="17"/>
              </w:rPr>
              <w:t>現状値10.3％は第1号被保険者数を分母としたものと見られる。</w:t>
            </w:r>
            <w:r>
              <w:rPr>
                <w:rFonts w:ascii="游ゴシック" w:hAnsi="游ゴシック" w:eastAsia="游ゴシック"/>
                <w:b w:val="0"/>
                <w:i w:val="0"/>
                <w:sz w:val="17"/>
              </w:rPr>
              <w:t>認定者数を分母にすると値が大きく変わる。</w:t>
            </w:r>
            <w:r>
              <w:rPr>
                <w:rFonts w:ascii="游ゴシック" w:hAnsi="游ゴシック" w:eastAsia="游ゴシック"/>
                <w:b/>
                <w:i w:val="0"/>
                <w:sz w:val="17"/>
              </w:rPr>
              <w:t>どちらかを決める</w:t>
            </w:r>
          </w:p>
        </w:tc>
      </w:tr>
      <w:tr>
        <w:tc>
          <w:tcPr>
            <w:tcW w:type="dxa" w:w="454"/>
            <w:vAlign w:val="center"/>
          </w:tcPr>
          <w:p>
            <w:pPr>
              <w:spacing w:before="20" w:after="20"/>
            </w:pPr>
            <w:r>
              <w:rPr>
                <w:rFonts w:ascii="游ゴシック" w:hAnsi="游ゴシック" w:eastAsia="游ゴシック"/>
                <w:b w:val="0"/>
                <w:i w:val="0"/>
                <w:sz w:val="17"/>
              </w:rPr>
              <w:t>6</w:t>
            </w:r>
          </w:p>
        </w:tc>
        <w:tc>
          <w:tcPr>
            <w:tcW w:type="dxa" w:w="2835"/>
            <w:vAlign w:val="center"/>
          </w:tcPr>
          <w:p>
            <w:pPr>
              <w:spacing w:before="20" w:after="20"/>
            </w:pPr>
            <w:r>
              <w:rPr>
                <w:rFonts w:ascii="游ゴシック" w:hAnsi="游ゴシック" w:eastAsia="游ゴシック"/>
                <w:b w:val="0"/>
                <w:i w:val="0"/>
                <w:sz w:val="17"/>
              </w:rPr>
              <w:t>未利用理由の把握状況</w:t>
            </w:r>
          </w:p>
        </w:tc>
        <w:tc>
          <w:tcPr>
            <w:tcW w:type="dxa" w:w="6463"/>
            <w:vAlign w:val="center"/>
          </w:tcPr>
          <w:p>
            <w:pPr>
              <w:spacing w:before="20" w:after="20"/>
            </w:pPr>
            <w:r>
              <w:rPr>
                <w:rFonts w:ascii="游ゴシック" w:hAnsi="游ゴシック" w:eastAsia="游ゴシック"/>
                <w:b/>
                <w:i w:val="0"/>
                <w:sz w:val="17"/>
              </w:rPr>
              <w:t>次期調査で継続把握するとしているため、調査を行った年度しか○にならない。</w:t>
            </w:r>
            <w:r>
              <w:rPr>
                <w:rFonts w:ascii="游ゴシック" w:hAnsi="游ゴシック" w:eastAsia="游ゴシック"/>
                <w:b w:val="0"/>
                <w:i w:val="0"/>
                <w:sz w:val="17"/>
              </w:rPr>
              <w:t>計画期間中に調査がない年度は「評価できない」となる</w:t>
            </w:r>
          </w:p>
        </w:tc>
      </w:tr>
    </w:tbl>
    <w:p>
      <w:pPr>
        <w:spacing w:after="40"/>
      </w:pPr>
    </w:p>
    <w:p>
      <w:pPr>
        <w:pStyle w:val="Heading2"/>
        <w:keepNext/>
        <w:spacing w:before="180" w:after="100"/>
      </w:pPr>
      <w:bookmarkStart w:id="107" w:name="_Toc_007"/>
      <w:r>
        <w:rPr>
          <w:rFonts w:ascii="游ゴシック" w:hAnsi="游ゴシック" w:eastAsia="游ゴシック"/>
          <w:b/>
          <w:i w:val="0"/>
          <w:color w:val="2E74B5"/>
          <w:sz w:val="25"/>
        </w:rPr>
        <w:t>2-3　そのほか気づいたこと</w:t>
      </w:r>
      <w:bookmarkEnd w:id="107"/>
    </w:p>
    <w:p>
      <w:pPr>
        <w:keepNext/>
        <w:spacing w:before="200" w:after="40"/>
      </w:pPr>
      <w:r>
        <w:rPr>
          <w:rFonts w:ascii="游ゴシック" w:hAnsi="游ゴシック" w:eastAsia="游ゴシック"/>
          <w:b/>
          <w:i w:val="0"/>
          <w:color w:val="1F4D78"/>
          <w:sz w:val="22"/>
        </w:rPr>
        <w:t>【表6】そのほか気づいたこと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742"/>
        <w:gridCol w:w="3742"/>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対応</w:t>
            </w:r>
          </w:p>
        </w:tc>
      </w:tr>
      <w:tr>
        <w:tc>
          <w:tcPr>
            <w:tcW w:type="dxa" w:w="2268"/>
            <w:vAlign w:val="center"/>
          </w:tcPr>
          <w:p>
            <w:pPr>
              <w:spacing w:before="20" w:after="20"/>
            </w:pPr>
            <w:r>
              <w:rPr>
                <w:rFonts w:ascii="游ゴシック" w:hAnsi="游ゴシック" w:eastAsia="游ゴシック"/>
                <w:b/>
                <w:i w:val="0"/>
                <w:sz w:val="17"/>
              </w:rPr>
              <w:t>同じ指標が二重に置かれている</w:t>
            </w:r>
          </w:p>
        </w:tc>
        <w:tc>
          <w:tcPr>
            <w:tcW w:type="dxa" w:w="3742"/>
            <w:vAlign w:val="center"/>
          </w:tcPr>
          <w:p>
            <w:pPr>
              <w:spacing w:before="20" w:after="20"/>
            </w:pPr>
            <w:r>
              <w:rPr>
                <w:rFonts w:ascii="游ゴシック" w:hAnsi="游ゴシック" w:eastAsia="游ゴシック"/>
                <w:b w:val="0"/>
                <w:i w:val="0"/>
                <w:sz w:val="17"/>
              </w:rPr>
              <w:t>「地域ケア会議の開催回数・検討件数」が基本目標2②と基本目標3①の両方にある</w:t>
            </w:r>
          </w:p>
        </w:tc>
        <w:tc>
          <w:tcPr>
            <w:tcW w:type="dxa" w:w="3742"/>
            <w:vAlign w:val="center"/>
          </w:tcPr>
          <w:p>
            <w:pPr>
              <w:spacing w:before="20" w:after="20"/>
            </w:pPr>
            <w:r>
              <w:rPr>
                <w:rFonts w:ascii="游ゴシック" w:hAnsi="游ゴシック" w:eastAsia="游ゴシック"/>
                <w:b w:val="0"/>
                <w:i w:val="0"/>
                <w:sz w:val="17"/>
              </w:rPr>
              <w:t>どちらか一方に寄せるか、数えるものを分ける（2②は地域課題の検討、3①は個別事例の検討など）</w:t>
            </w:r>
          </w:p>
        </w:tc>
      </w:tr>
      <w:tr>
        <w:tc>
          <w:tcPr>
            <w:tcW w:type="dxa" w:w="2268"/>
            <w:vAlign w:val="center"/>
          </w:tcPr>
          <w:p>
            <w:pPr>
              <w:spacing w:before="20" w:after="20"/>
            </w:pPr>
            <w:r>
              <w:rPr>
                <w:rFonts w:ascii="游ゴシック" w:hAnsi="游ゴシック" w:eastAsia="游ゴシック"/>
                <w:b/>
                <w:i w:val="0"/>
                <w:sz w:val="17"/>
              </w:rPr>
              <w:t>指標名と現状値の層が合っていない</w:t>
            </w:r>
          </w:p>
        </w:tc>
        <w:tc>
          <w:tcPr>
            <w:tcW w:type="dxa" w:w="3742"/>
            <w:vAlign w:val="center"/>
          </w:tcPr>
          <w:p>
            <w:pPr>
              <w:spacing w:before="20" w:after="20"/>
            </w:pPr>
            <w:r>
              <w:rPr>
                <w:rFonts w:ascii="游ゴシック" w:hAnsi="游ゴシック" w:eastAsia="游ゴシック"/>
                <w:b w:val="0"/>
                <w:i w:val="0"/>
                <w:sz w:val="17"/>
              </w:rPr>
              <w:t>「認知症地域支援推進員の活動実績」の現状値が「配置4人」で、これは体制（Ｔ）である</w:t>
            </w:r>
          </w:p>
        </w:tc>
        <w:tc>
          <w:tcPr>
            <w:tcW w:type="dxa" w:w="3742"/>
            <w:vAlign w:val="center"/>
          </w:tcPr>
          <w:p>
            <w:pPr>
              <w:spacing w:before="20" w:after="20"/>
            </w:pPr>
            <w:r>
              <w:rPr>
                <w:rFonts w:ascii="游ゴシック" w:hAnsi="游ゴシック" w:eastAsia="游ゴシック"/>
                <w:b w:val="0"/>
                <w:i w:val="0"/>
                <w:sz w:val="17"/>
              </w:rPr>
              <w:t>配置人数を指標とするか、活動の回数・件数とするかを決める</w:t>
            </w:r>
          </w:p>
        </w:tc>
      </w:tr>
      <w:tr>
        <w:tc>
          <w:tcPr>
            <w:tcW w:type="dxa" w:w="2268"/>
            <w:vAlign w:val="center"/>
          </w:tcPr>
          <w:p>
            <w:pPr>
              <w:spacing w:before="20" w:after="20"/>
            </w:pPr>
            <w:r>
              <w:rPr>
                <w:rFonts w:ascii="游ゴシック" w:hAnsi="游ゴシック" w:eastAsia="游ゴシック"/>
                <w:b/>
                <w:i w:val="0"/>
                <w:sz w:val="17"/>
              </w:rPr>
              <w:t>現状値が資料間で食い違っている</w:t>
            </w:r>
          </w:p>
        </w:tc>
        <w:tc>
          <w:tcPr>
            <w:tcW w:type="dxa" w:w="3742"/>
            <w:vAlign w:val="center"/>
          </w:tcPr>
          <w:p>
            <w:pPr>
              <w:spacing w:before="20" w:after="20"/>
            </w:pPr>
            <w:r>
              <w:rPr>
                <w:rFonts w:ascii="游ゴシック" w:hAnsi="游ゴシック" w:eastAsia="游ゴシック"/>
                <w:b w:val="0"/>
                <w:i w:val="0"/>
                <w:sz w:val="17"/>
              </w:rPr>
              <w:t>「週1回以上の通いの場の箇所数」が見える化0か所と調査5.5％で食い違う（素案 第3章1）</w:t>
            </w:r>
          </w:p>
        </w:tc>
        <w:tc>
          <w:tcPr>
            <w:tcW w:type="dxa" w:w="3742"/>
            <w:vAlign w:val="center"/>
          </w:tcPr>
          <w:p>
            <w:pPr>
              <w:spacing w:before="20" w:after="20"/>
            </w:pPr>
            <w:r>
              <w:rPr>
                <w:rFonts w:ascii="游ゴシック" w:hAnsi="游ゴシック" w:eastAsia="游ゴシック"/>
                <w:b w:val="0"/>
                <w:i w:val="0"/>
                <w:sz w:val="17"/>
              </w:rPr>
              <w:t>まず「通いの場」の範囲を決める。決めないまま目標値を置くと達成の判定ができない</w:t>
            </w:r>
          </w:p>
        </w:tc>
      </w:tr>
      <w:tr>
        <w:tc>
          <w:tcPr>
            <w:tcW w:type="dxa" w:w="2268"/>
            <w:vAlign w:val="center"/>
          </w:tcPr>
          <w:p>
            <w:pPr>
              <w:keepNext/>
              <w:spacing w:before="20" w:after="20"/>
            </w:pPr>
            <w:r>
              <w:rPr>
                <w:rFonts w:ascii="游ゴシック" w:hAnsi="游ゴシック" w:eastAsia="游ゴシック"/>
                <w:b/>
                <w:i w:val="0"/>
                <w:sz w:val="17"/>
              </w:rPr>
              <w:t>分母が定まっていない</w:t>
            </w:r>
          </w:p>
        </w:tc>
        <w:tc>
          <w:tcPr>
            <w:tcW w:type="dxa" w:w="3742"/>
            <w:vAlign w:val="center"/>
          </w:tcPr>
          <w:p>
            <w:pPr>
              <w:keepNext/>
              <w:spacing w:before="20" w:after="20"/>
            </w:pPr>
            <w:r>
              <w:rPr>
                <w:rFonts w:ascii="游ゴシック" w:hAnsi="游ゴシック" w:eastAsia="游ゴシック"/>
                <w:b w:val="0"/>
                <w:i w:val="0"/>
                <w:sz w:val="17"/>
              </w:rPr>
              <w:t>「個別避難計画の策定率」「在宅サービス受給率」</w:t>
            </w:r>
          </w:p>
        </w:tc>
        <w:tc>
          <w:tcPr>
            <w:tcW w:type="dxa" w:w="3742"/>
            <w:vAlign w:val="center"/>
          </w:tcPr>
          <w:p>
            <w:pPr>
              <w:keepNext/>
              <w:spacing w:before="20" w:after="20"/>
            </w:pPr>
            <w:r>
              <w:rPr>
                <w:rFonts w:ascii="游ゴシック" w:hAnsi="游ゴシック" w:eastAsia="游ゴシック"/>
                <w:b w:val="0"/>
                <w:i w:val="0"/>
                <w:sz w:val="17"/>
              </w:rPr>
              <w:t>名簿の登録者数／第1号被保険者数か認定者数かを決める</w:t>
            </w:r>
          </w:p>
        </w:tc>
      </w:tr>
      <w:tr>
        <w:tc>
          <w:tcPr>
            <w:tcW w:type="dxa" w:w="2268"/>
            <w:vAlign w:val="center"/>
          </w:tcPr>
          <w:p>
            <w:pPr>
              <w:spacing w:before="20" w:after="20"/>
            </w:pPr>
            <w:r>
              <w:rPr>
                <w:rFonts w:ascii="游ゴシック" w:hAnsi="游ゴシック" w:eastAsia="游ゴシック"/>
                <w:b/>
                <w:i w:val="0"/>
                <w:sz w:val="17"/>
              </w:rPr>
              <w:t>累計と単年度が混ざる</w:t>
            </w:r>
          </w:p>
        </w:tc>
        <w:tc>
          <w:tcPr>
            <w:tcW w:type="dxa" w:w="3742"/>
            <w:vAlign w:val="center"/>
          </w:tcPr>
          <w:p>
            <w:pPr>
              <w:spacing w:before="20" w:after="20"/>
            </w:pPr>
            <w:r>
              <w:rPr>
                <w:rFonts w:ascii="游ゴシック" w:hAnsi="游ゴシック" w:eastAsia="游ゴシック"/>
                <w:b w:val="0"/>
                <w:i w:val="0"/>
                <w:sz w:val="17"/>
              </w:rPr>
              <w:t>「認知症サポーター養成講座の受講者数」</w:t>
            </w:r>
          </w:p>
        </w:tc>
        <w:tc>
          <w:tcPr>
            <w:tcW w:type="dxa" w:w="3742"/>
            <w:vAlign w:val="center"/>
          </w:tcPr>
          <w:p>
            <w:pPr>
              <w:spacing w:before="20" w:after="20"/>
            </w:pPr>
            <w:r>
              <w:rPr>
                <w:rFonts w:ascii="游ゴシック" w:hAnsi="游ゴシック" w:eastAsia="游ゴシック"/>
                <w:b w:val="0"/>
                <w:i w:val="0"/>
                <w:sz w:val="17"/>
              </w:rPr>
              <w:t>どちらを目標値とするかを決める</w:t>
            </w:r>
          </w:p>
        </w:tc>
      </w:tr>
    </w:tbl>
    <w:p>
      <w:pPr>
        <w:spacing w:after="40"/>
      </w:pPr>
    </w:p>
    <w:p>
      <w:pPr>
        <w:pStyle w:val="Heading1"/>
        <w:keepNext/>
        <w:spacing w:before="240" w:after="100"/>
      </w:pPr>
      <w:bookmarkStart w:id="108" w:name="_Toc_008"/>
      <w:r>
        <w:rPr>
          <w:rFonts w:ascii="游ゴシック" w:hAnsi="游ゴシック" w:eastAsia="游ゴシック"/>
          <w:b/>
          <w:i w:val="0"/>
          <w:color w:val="2E74B5"/>
          <w:sz w:val="30"/>
        </w:rPr>
        <w:t>3　1件ずつの仕様</w:t>
      </w:r>
      <w:bookmarkEnd w:id="108"/>
    </w:p>
    <w:p>
      <w:pPr>
        <w:spacing w:before="60" w:after="60"/>
      </w:pPr>
      <w:r>
        <w:rPr>
          <w:rFonts w:ascii="游ゴシック" w:hAnsi="游ゴシック" w:eastAsia="游ゴシック"/>
          <w:b/>
          <w:i w:val="0"/>
          <w:sz w:val="21"/>
        </w:rPr>
        <w:t>層・算式・母数・基準時点・データ源・毎年度取得可能か</w:t>
      </w:r>
      <w:r>
        <w:rPr>
          <w:rFonts w:ascii="游ゴシック" w:hAnsi="游ゴシック" w:eastAsia="游ゴシック"/>
          <w:b w:val="0"/>
          <w:i w:val="0"/>
          <w:sz w:val="21"/>
        </w:rPr>
        <w:t>を指標ごとに示します。「毎年度」の欄は、○＝毎年度測れる、△＝仕様を決めれば測れる、</w:t>
      </w:r>
      <w:r>
        <w:rPr>
          <w:rFonts w:ascii="游ゴシック" w:hAnsi="游ゴシック" w:eastAsia="游ゴシック"/>
          <w:b/>
          <w:i w:val="0"/>
          <w:sz w:val="21"/>
        </w:rPr>
        <w:t>×＝調査でしか測れない</w:t>
      </w:r>
      <w:r>
        <w:rPr>
          <w:rFonts w:ascii="游ゴシック" w:hAnsi="游ゴシック" w:eastAsia="游ゴシック"/>
          <w:b w:val="0"/>
          <w:i w:val="0"/>
          <w:sz w:val="21"/>
        </w:rPr>
        <w:t>です。</w:t>
      </w:r>
    </w:p>
    <w:p>
      <w:pPr>
        <w:pStyle w:val="Heading2"/>
        <w:keepNext/>
        <w:spacing w:before="180" w:after="100"/>
      </w:pPr>
      <w:bookmarkStart w:id="109" w:name="_Toc_009"/>
      <w:r>
        <w:rPr>
          <w:rFonts w:ascii="游ゴシック" w:hAnsi="游ゴシック" w:eastAsia="游ゴシック"/>
          <w:b/>
          <w:i w:val="0"/>
          <w:color w:val="2E74B5"/>
          <w:sz w:val="25"/>
        </w:rPr>
        <w:t>基本目標1　介護予防と生きがいづくりの推進</w:t>
      </w:r>
      <w:bookmarkEnd w:id="109"/>
    </w:p>
    <w:p>
      <w:pPr>
        <w:pStyle w:val="Heading3"/>
        <w:keepNext/>
        <w:spacing w:before="180" w:after="80"/>
      </w:pPr>
      <w:r>
        <w:rPr>
          <w:rFonts w:ascii="游ゴシック" w:hAnsi="游ゴシック" w:eastAsia="游ゴシック"/>
          <w:b/>
          <w:i w:val="0"/>
          <w:color w:val="1F4D78"/>
          <w:sz w:val="22"/>
        </w:rPr>
        <w:t>特定健診受診率</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受診者数 ÷ 対象者数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特定健康診査の対象者数（40〜74歳の被保険者）</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本計画の対象は65歳以上であるが、特定健診の対象は74歳まで。分母を65歳以上に絞るか、法定報告の対象者数のままとするかを決める</w:t>
            </w:r>
          </w:p>
        </w:tc>
      </w:tr>
    </w:tbl>
    <w:p>
      <w:pPr>
        <w:spacing w:after="40"/>
      </w:pPr>
    </w:p>
    <w:p>
      <w:pPr>
        <w:pStyle w:val="Heading3"/>
        <w:keepNext/>
        <w:spacing w:before="180" w:after="80"/>
      </w:pPr>
      <w:r>
        <w:rPr>
          <w:rFonts w:ascii="游ゴシック" w:hAnsi="游ゴシック" w:eastAsia="游ゴシック"/>
          <w:b/>
          <w:i w:val="0"/>
          <w:color w:val="1F4D78"/>
          <w:sz w:val="22"/>
        </w:rPr>
        <w:t>後期高齢者健診受診率</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受診者数 ÷ 対象者数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後期高齢者医療の被保険者数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県後期高齢者医療広域連合の集計による場合は出所を明記する</w:t>
            </w:r>
          </w:p>
        </w:tc>
      </w:tr>
    </w:tbl>
    <w:p>
      <w:pPr>
        <w:spacing w:after="40"/>
      </w:pPr>
    </w:p>
    <w:p>
      <w:pPr>
        <w:pStyle w:val="Heading3"/>
        <w:keepNext/>
        <w:spacing w:before="180" w:after="80"/>
      </w:pPr>
      <w:r>
        <w:rPr>
          <w:rFonts w:ascii="游ゴシック" w:hAnsi="游ゴシック" w:eastAsia="游ゴシック"/>
          <w:b/>
          <w:i w:val="0"/>
          <w:color w:val="1F4D78"/>
          <w:sz w:val="22"/>
        </w:rPr>
        <w:t>一体的実施における個別支援の対象者数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個別支援を行った方の実数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重複を除いた実人数とする。延べ人数と分ける</w:t>
            </w:r>
          </w:p>
        </w:tc>
      </w:tr>
    </w:tbl>
    <w:p>
      <w:pPr>
        <w:spacing w:after="40"/>
      </w:pPr>
    </w:p>
    <w:p>
      <w:pPr>
        <w:pStyle w:val="Heading3"/>
        <w:keepNext/>
        <w:spacing w:before="180" w:after="80"/>
      </w:pPr>
      <w:r>
        <w:rPr>
          <w:rFonts w:ascii="游ゴシック" w:hAnsi="游ゴシック" w:eastAsia="游ゴシック"/>
          <w:b/>
          <w:i w:val="0"/>
          <w:color w:val="1F4D78"/>
          <w:sz w:val="22"/>
        </w:rPr>
        <w:t>週1回以上の通いの場の箇所数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週1回以上開催している通いの場の箇所数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年度末</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見える化0か所／調査5.5％（【町データ待ち】）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現状値が見える化0か所と調査5.5％で食い違っている（素案 第3章1）。</w:t>
            </w:r>
            <w:r>
              <w:rPr>
                <w:rFonts w:ascii="游ゴシック" w:hAnsi="游ゴシック" w:eastAsia="游ゴシック"/>
                <w:b w:val="0"/>
                <w:i w:val="0"/>
                <w:sz w:val="17"/>
              </w:rPr>
              <w:t>まず「通いの場」の範囲（町が関与するものに限るか）を決める。決めないまま目標値を置くと達成の判定ができない</w:t>
            </w:r>
          </w:p>
        </w:tc>
      </w:tr>
    </w:tbl>
    <w:p>
      <w:pPr>
        <w:spacing w:after="40"/>
      </w:pPr>
    </w:p>
    <w:p>
      <w:pPr>
        <w:pStyle w:val="Heading3"/>
        <w:keepNext/>
        <w:spacing w:before="180" w:after="80"/>
      </w:pPr>
      <w:r>
        <w:rPr>
          <w:rFonts w:ascii="游ゴシック" w:hAnsi="游ゴシック" w:eastAsia="游ゴシック"/>
          <w:b/>
          <w:i w:val="0"/>
          <w:color w:val="1F4D78"/>
          <w:sz w:val="22"/>
        </w:rPr>
        <w:t>通いの場への参加率（65歳以上）</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参加者の実人数 ÷ 第1号被保険者数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第1号被保険者数（年度末）</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年度末</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13.8％（調査）</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現状値13.8％は調査の値であり、毎年度は測れない。</w:t>
            </w:r>
            <w:r>
              <w:rPr>
                <w:rFonts w:ascii="游ゴシック" w:hAnsi="游ゴシック" w:eastAsia="游ゴシック"/>
                <w:b w:val="0"/>
                <w:i w:val="0"/>
                <w:sz w:val="17"/>
              </w:rPr>
              <w:t>町実績の参加者数による算式に置き換える。</w:t>
            </w:r>
            <w:r>
              <w:rPr>
                <w:rFonts w:ascii="游ゴシック" w:hAnsi="游ゴシック" w:eastAsia="游ゴシック"/>
                <w:b/>
                <w:i w:val="0"/>
                <w:sz w:val="17"/>
              </w:rPr>
              <w:t>調査の13.8％と置き換え後の値は別物であり、並べて比べない</w:t>
            </w:r>
          </w:p>
        </w:tc>
      </w:tr>
    </w:tbl>
    <w:p>
      <w:pPr>
        <w:spacing w:after="40"/>
      </w:pPr>
    </w:p>
    <w:p>
      <w:pPr>
        <w:pStyle w:val="Heading3"/>
        <w:keepNext/>
        <w:spacing w:before="180" w:after="80"/>
      </w:pPr>
      <w:r>
        <w:rPr>
          <w:rFonts w:ascii="游ゴシック" w:hAnsi="游ゴシック" w:eastAsia="游ゴシック"/>
          <w:b/>
          <w:i w:val="0"/>
          <w:color w:val="1F4D78"/>
          <w:sz w:val="22"/>
        </w:rPr>
        <w:t>転倒リスク該当者の割合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Ｊ　状態</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該当者数 ÷ 有効回答数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調査の有効回答数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調査の実施年度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調査　（介護予防・日常生活圏域ニーズ調査及び在宅介護実態調査）</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36.5％</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調査でしか測れない。</w:t>
            </w:r>
            <w:r>
              <w:rPr>
                <w:rFonts w:ascii="游ゴシック" w:hAnsi="游ゴシック" w:eastAsia="游ゴシック"/>
                <w:b w:val="0"/>
                <w:i w:val="0"/>
                <w:sz w:val="17"/>
              </w:rPr>
              <w:t xml:space="preserve"> 令和7年度が基準値。次に測れるのは次期調査（第11期の策定時）であり、</w:t>
            </w:r>
            <w:r>
              <w:rPr>
                <w:rFonts w:ascii="游ゴシック" w:hAnsi="游ゴシック" w:eastAsia="游ゴシック"/>
                <w:b/>
                <w:i w:val="0"/>
                <w:sz w:val="17"/>
              </w:rPr>
              <w:t>計画期間の各年度では測れない。</w:t>
            </w:r>
            <w:r>
              <w:rPr>
                <w:rFonts w:ascii="游ゴシック" w:hAnsi="游ゴシック" w:eastAsia="游ゴシック"/>
                <w:b w:val="0"/>
                <w:i w:val="0"/>
                <w:sz w:val="17"/>
              </w:rPr>
              <w:t>年次評価では「評価できない」となる</w:t>
            </w:r>
          </w:p>
        </w:tc>
      </w:tr>
    </w:tbl>
    <w:p>
      <w:pPr>
        <w:spacing w:after="40"/>
      </w:pPr>
    </w:p>
    <w:p>
      <w:pPr>
        <w:pStyle w:val="Heading3"/>
        <w:keepNext/>
        <w:spacing w:before="180" w:after="80"/>
      </w:pPr>
      <w:r>
        <w:rPr>
          <w:rFonts w:ascii="游ゴシック" w:hAnsi="游ゴシック" w:eastAsia="游ゴシック"/>
          <w:b/>
          <w:i w:val="0"/>
          <w:color w:val="1F4D78"/>
          <w:sz w:val="22"/>
        </w:rPr>
        <w:t>閉じこもり傾向該当者の割合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Ｊ　状態</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該当者数 ÷ 有効回答数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調査の有効回答数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調査の実施年度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調査　（介護予防・日常生活圏域ニーズ調査及び在宅介護実態調査）</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24.1％</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同上</w:t>
            </w:r>
          </w:p>
        </w:tc>
      </w:tr>
    </w:tbl>
    <w:p>
      <w:pPr>
        <w:spacing w:after="40"/>
      </w:pPr>
    </w:p>
    <w:p>
      <w:pPr>
        <w:pStyle w:val="Heading3"/>
        <w:keepNext/>
        <w:spacing w:before="180" w:after="80"/>
      </w:pPr>
      <w:r>
        <w:rPr>
          <w:rFonts w:ascii="游ゴシック" w:hAnsi="游ゴシック" w:eastAsia="游ゴシック"/>
          <w:b/>
          <w:i w:val="0"/>
          <w:color w:val="1F4D78"/>
          <w:sz w:val="22"/>
        </w:rPr>
        <w:t>一般介護予防事業費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一般介護予防事業の決算額</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年度（決算）</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年報　（介護保険事業状況報告（年報））</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5.3百万円（令和6年度・年報 様式4）</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年報 様式の区分による。補助分を含むかを明記する</w:t>
            </w:r>
          </w:p>
        </w:tc>
      </w:tr>
    </w:tbl>
    <w:p>
      <w:pPr>
        <w:spacing w:after="40"/>
      </w:pPr>
    </w:p>
    <w:p>
      <w:pPr>
        <w:pStyle w:val="Heading3"/>
        <w:keepNext/>
        <w:spacing w:before="180" w:after="80"/>
      </w:pPr>
      <w:r>
        <w:rPr>
          <w:rFonts w:ascii="游ゴシック" w:hAnsi="游ゴシック" w:eastAsia="游ゴシック"/>
          <w:b/>
          <w:i w:val="0"/>
          <w:color w:val="1F4D78"/>
          <w:sz w:val="22"/>
        </w:rPr>
        <w:t>社会的役割の低下該当者の割合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Ｊ　状態</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該当者数 ÷ 有効回答数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調査の有効回答数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調査の実施年度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調査　（介護予防・日常生活圏域ニーズ調査及び在宅介護実態調査）</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47.7％</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同上</w:t>
            </w:r>
          </w:p>
        </w:tc>
      </w:tr>
    </w:tbl>
    <w:p>
      <w:pPr>
        <w:spacing w:after="40"/>
      </w:pPr>
    </w:p>
    <w:p>
      <w:pPr>
        <w:pStyle w:val="Heading3"/>
        <w:keepNext/>
        <w:spacing w:before="180" w:after="80"/>
      </w:pPr>
      <w:r>
        <w:rPr>
          <w:rFonts w:ascii="游ゴシック" w:hAnsi="游ゴシック" w:eastAsia="游ゴシック"/>
          <w:b/>
          <w:i w:val="0"/>
          <w:color w:val="1F4D78"/>
          <w:sz w:val="22"/>
        </w:rPr>
        <w:t>老人クラブ会員数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会員数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年度末</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クラブ数と会員数を分けて記録する</w:t>
            </w:r>
          </w:p>
        </w:tc>
      </w:tr>
    </w:tbl>
    <w:p>
      <w:pPr>
        <w:spacing w:after="40"/>
      </w:pPr>
    </w:p>
    <w:p>
      <w:pPr>
        <w:pStyle w:val="Heading3"/>
        <w:keepNext/>
        <w:spacing w:before="180" w:after="80"/>
      </w:pPr>
      <w:r>
        <w:rPr>
          <w:rFonts w:ascii="游ゴシック" w:hAnsi="游ゴシック" w:eastAsia="游ゴシック"/>
          <w:b/>
          <w:i w:val="0"/>
          <w:color w:val="1F4D78"/>
          <w:sz w:val="22"/>
        </w:rPr>
        <w:t>シルバー人材センター会員数・就業実績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会員数／受注件数・金額</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年度末</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センターの事業報告による。出所を明記する</w:t>
            </w:r>
          </w:p>
        </w:tc>
      </w:tr>
    </w:tbl>
    <w:p>
      <w:pPr>
        <w:spacing w:after="40"/>
      </w:pPr>
    </w:p>
    <w:p>
      <w:pPr>
        <w:pStyle w:val="Heading2"/>
        <w:keepNext/>
        <w:spacing w:before="180" w:after="100"/>
      </w:pPr>
      <w:bookmarkStart w:id="110" w:name="_Toc_010"/>
      <w:r>
        <w:rPr>
          <w:rFonts w:ascii="游ゴシック" w:hAnsi="游ゴシック" w:eastAsia="游ゴシック"/>
          <w:b/>
          <w:i w:val="0"/>
          <w:color w:val="2E74B5"/>
          <w:sz w:val="25"/>
        </w:rPr>
        <w:t>基本目標2　安全・安心な暮らしの確保</w:t>
      </w:r>
      <w:bookmarkEnd w:id="110"/>
    </w:p>
    <w:p>
      <w:pPr>
        <w:pStyle w:val="Heading3"/>
        <w:keepNext/>
        <w:spacing w:before="180" w:after="80"/>
      </w:pPr>
      <w:r>
        <w:rPr>
          <w:rFonts w:ascii="游ゴシック" w:hAnsi="游ゴシック" w:eastAsia="游ゴシック"/>
          <w:b/>
          <w:i w:val="0"/>
          <w:color w:val="1F4D78"/>
          <w:sz w:val="22"/>
        </w:rPr>
        <w:t>協議体の開催回数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開催回数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【見える化出力待ち】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第1層・第2層を分けて数える。</w:t>
            </w:r>
            <w:r>
              <w:rPr>
                <w:rFonts w:ascii="游ゴシック" w:hAnsi="游ゴシック" w:eastAsia="游ゴシック"/>
                <w:b/>
                <w:i w:val="0"/>
                <w:sz w:val="17"/>
              </w:rPr>
              <w:t>見える化の出力を待たずに町実績で取れる</w:t>
            </w:r>
          </w:p>
        </w:tc>
      </w:tr>
    </w:tbl>
    <w:p>
      <w:pPr>
        <w:spacing w:after="40"/>
      </w:pPr>
    </w:p>
    <w:p>
      <w:pPr>
        <w:pStyle w:val="Heading3"/>
        <w:keepNext/>
        <w:spacing w:before="180" w:after="80"/>
      </w:pPr>
      <w:r>
        <w:rPr>
          <w:rFonts w:ascii="游ゴシック" w:hAnsi="游ゴシック" w:eastAsia="游ゴシック"/>
          <w:b/>
          <w:i w:val="0"/>
          <w:color w:val="1F4D78"/>
          <w:sz w:val="22"/>
        </w:rPr>
        <w:t>生活支援コーディネーターの活動実績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i w:val="0"/>
                <w:sz w:val="17"/>
              </w:rPr>
              <w:t>何を数えるかが決まっていない</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指標名が「活動実績」のままで、数えるものが定まっていない。</w:t>
            </w:r>
            <w:r>
              <w:rPr>
                <w:rFonts w:ascii="游ゴシック" w:hAnsi="游ゴシック" w:eastAsia="游ゴシック"/>
                <w:b w:val="0"/>
                <w:i w:val="0"/>
                <w:sz w:val="17"/>
              </w:rPr>
              <w:t>支援した通いの場の数／関係機関との会議の回数／個別の相談の件数のいずれかに決める。決めないと測れない</w:t>
            </w:r>
          </w:p>
        </w:tc>
      </w:tr>
    </w:tbl>
    <w:p>
      <w:pPr>
        <w:spacing w:after="40"/>
      </w:pPr>
    </w:p>
    <w:p>
      <w:pPr>
        <w:pStyle w:val="Heading3"/>
        <w:keepNext/>
        <w:spacing w:before="180" w:after="80"/>
      </w:pPr>
      <w:r>
        <w:rPr>
          <w:rFonts w:ascii="游ゴシック" w:hAnsi="游ゴシック" w:eastAsia="游ゴシック"/>
          <w:b/>
          <w:i w:val="0"/>
          <w:color w:val="1F4D78"/>
          <w:sz w:val="22"/>
        </w:rPr>
        <w:t>地域の支え合い活動の把握件数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把握した活動の件数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年度末</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「把握」の範囲が定まっていない。</w:t>
            </w:r>
            <w:r>
              <w:rPr>
                <w:rFonts w:ascii="游ゴシック" w:hAnsi="游ゴシック" w:eastAsia="游ゴシック"/>
                <w:b w:val="0"/>
                <w:i w:val="0"/>
                <w:sz w:val="17"/>
              </w:rPr>
              <w:t>町が台帳に載せたものに限るか、生活支援コーディネーターが聞き取ったものを含むかを決める</w:t>
            </w:r>
          </w:p>
        </w:tc>
      </w:tr>
    </w:tbl>
    <w:p>
      <w:pPr>
        <w:spacing w:after="40"/>
      </w:pPr>
    </w:p>
    <w:p>
      <w:pPr>
        <w:pStyle w:val="Heading3"/>
        <w:keepNext/>
        <w:spacing w:before="180" w:after="80"/>
      </w:pPr>
      <w:r>
        <w:rPr>
          <w:rFonts w:ascii="游ゴシック" w:hAnsi="游ゴシック" w:eastAsia="游ゴシック"/>
          <w:b/>
          <w:i w:val="0"/>
          <w:color w:val="1F4D78"/>
          <w:sz w:val="22"/>
        </w:rPr>
        <w:t>地域包括支援センターの相談件数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相談の延べ件数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実人数と延べ件数を分ける。新規と継続を分けるかを決める</w:t>
            </w:r>
          </w:p>
        </w:tc>
      </w:tr>
    </w:tbl>
    <w:p>
      <w:pPr>
        <w:spacing w:after="40"/>
      </w:pPr>
    </w:p>
    <w:p>
      <w:pPr>
        <w:pStyle w:val="Heading3"/>
        <w:keepNext/>
        <w:spacing w:before="180" w:after="80"/>
      </w:pPr>
      <w:r>
        <w:rPr>
          <w:rFonts w:ascii="游ゴシック" w:hAnsi="游ゴシック" w:eastAsia="游ゴシック"/>
          <w:b/>
          <w:i w:val="0"/>
          <w:color w:val="1F4D78"/>
          <w:sz w:val="22"/>
        </w:rPr>
        <w:t>地域包括支援センターの認知度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Ｊ　状態</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相談先として挙げた方の数 ÷ 有効回答数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調査の有効回答数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調査の実施年度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調査　（介護予防・日常生活圏域ニーズ調査及び在宅介護実態調査）</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19.2％（相談先として挙げた割合）</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調査でしか測れない。</w:t>
            </w:r>
            <w:r>
              <w:rPr>
                <w:rFonts w:ascii="游ゴシック" w:hAnsi="游ゴシック" w:eastAsia="游ゴシック"/>
                <w:b w:val="0"/>
                <w:i w:val="0"/>
                <w:sz w:val="17"/>
              </w:rPr>
              <w:t xml:space="preserve"> 代わりに毎年度測るなら</w:t>
            </w:r>
            <w:r>
              <w:rPr>
                <w:rFonts w:ascii="游ゴシック" w:hAnsi="游ゴシック" w:eastAsia="游ゴシック"/>
                <w:b/>
                <w:i w:val="0"/>
                <w:sz w:val="17"/>
              </w:rPr>
              <w:t>周知の回数（広報・防災無線・出前講座）</w:t>
            </w:r>
            <w:r>
              <w:rPr>
                <w:rFonts w:ascii="游ゴシック" w:hAnsi="游ゴシック" w:eastAsia="游ゴシック"/>
                <w:b w:val="0"/>
                <w:i w:val="0"/>
                <w:sz w:val="17"/>
              </w:rPr>
              <w:t>に置き換える。ただし周知の回数は認知度そのものではない</w:t>
            </w:r>
          </w:p>
        </w:tc>
      </w:tr>
    </w:tbl>
    <w:p>
      <w:pPr>
        <w:spacing w:after="40"/>
      </w:pPr>
    </w:p>
    <w:p>
      <w:pPr>
        <w:pStyle w:val="Heading3"/>
        <w:keepNext/>
        <w:spacing w:before="180" w:after="80"/>
      </w:pPr>
      <w:r>
        <w:rPr>
          <w:rFonts w:ascii="游ゴシック" w:hAnsi="游ゴシック" w:eastAsia="游ゴシック"/>
          <w:b/>
          <w:i w:val="0"/>
          <w:color w:val="1F4D78"/>
          <w:sz w:val="22"/>
        </w:rPr>
        <w:t>地域ケア会議の開催回数・検討件数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開催回数／検討した事例の件数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基本目標2②と基本目標3①に同じ指標が二重に置かれている。</w:t>
            </w:r>
            <w:r>
              <w:rPr>
                <w:rFonts w:ascii="游ゴシック" w:hAnsi="游ゴシック" w:eastAsia="游ゴシック"/>
                <w:b w:val="0"/>
                <w:i w:val="0"/>
                <w:sz w:val="17"/>
              </w:rPr>
              <w:t>どちらか一方に寄せるか、数えるものを分ける（2②は地域課題の検討、3①は個別事例の検討など）</w:t>
            </w:r>
          </w:p>
        </w:tc>
      </w:tr>
    </w:tbl>
    <w:p>
      <w:pPr>
        <w:spacing w:after="40"/>
      </w:pPr>
    </w:p>
    <w:p>
      <w:pPr>
        <w:pStyle w:val="Heading3"/>
        <w:keepNext/>
        <w:spacing w:before="180" w:after="80"/>
      </w:pPr>
      <w:r>
        <w:rPr>
          <w:rFonts w:ascii="游ゴシック" w:hAnsi="游ゴシック" w:eastAsia="游ゴシック"/>
          <w:b/>
          <w:i w:val="0"/>
          <w:color w:val="1F4D78"/>
          <w:sz w:val="22"/>
        </w:rPr>
        <w:t>居宅介護支援事業所数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Ｔ　体制</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町内の居宅介護支援事業所の数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年度末</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見える化　（地域包括ケア「見える化」システム）</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3か所</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3か所以上の維持</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休止中の事業所を含むかを明記する</w:t>
            </w:r>
          </w:p>
        </w:tc>
      </w:tr>
    </w:tbl>
    <w:p>
      <w:pPr>
        <w:spacing w:after="40"/>
      </w:pPr>
    </w:p>
    <w:p>
      <w:pPr>
        <w:pStyle w:val="Heading3"/>
        <w:keepNext/>
        <w:spacing w:before="180" w:after="80"/>
      </w:pPr>
      <w:r>
        <w:rPr>
          <w:rFonts w:ascii="游ゴシック" w:hAnsi="游ゴシック" w:eastAsia="游ゴシック"/>
          <w:b/>
          <w:i w:val="0"/>
          <w:color w:val="1F4D78"/>
          <w:sz w:val="22"/>
        </w:rPr>
        <w:t>認知症に関する相談窓口の認知度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Ｊ　状態</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窓口を知っている方の数 ÷ 有効回答数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調査の有効回答数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調査の実施年度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調査　（介護予防・日常生活圏域ニーズ調査及び在宅介護実態調査）</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33.2％（令和7年度調査）</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調査でしか測れない。</w:t>
            </w:r>
            <w:r>
              <w:rPr>
                <w:rFonts w:ascii="游ゴシック" w:hAnsi="游ゴシック" w:eastAsia="游ゴシック"/>
                <w:b w:val="0"/>
                <w:i w:val="0"/>
                <w:sz w:val="17"/>
              </w:rPr>
              <w:t xml:space="preserve"> 現状値33.2％は令和7年度調査。毎年度測るなら周知の回数に置き換える</w:t>
            </w:r>
          </w:p>
        </w:tc>
      </w:tr>
    </w:tbl>
    <w:p>
      <w:pPr>
        <w:spacing w:after="40"/>
      </w:pPr>
    </w:p>
    <w:p>
      <w:pPr>
        <w:pStyle w:val="Heading3"/>
        <w:keepNext/>
        <w:spacing w:before="180" w:after="80"/>
      </w:pPr>
      <w:r>
        <w:rPr>
          <w:rFonts w:ascii="游ゴシック" w:hAnsi="游ゴシック" w:eastAsia="游ゴシック"/>
          <w:b/>
          <w:i w:val="0"/>
          <w:color w:val="1F4D78"/>
          <w:sz w:val="22"/>
        </w:rPr>
        <w:t>認知症初期集中支援チームの対象者の把握件数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把握した対象者の実人数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訪問実績0件（令和5年度）</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現状値は訪問実績0件（令和5年度）。</w:t>
            </w:r>
            <w:r>
              <w:rPr>
                <w:rFonts w:ascii="游ゴシック" w:hAnsi="游ゴシック" w:eastAsia="游ゴシック"/>
                <w:b w:val="0"/>
                <w:i w:val="0"/>
                <w:sz w:val="17"/>
              </w:rPr>
              <w:t>訪問件数と把握件数は別である。把握の定義を決める</w:t>
            </w:r>
          </w:p>
        </w:tc>
      </w:tr>
    </w:tbl>
    <w:p>
      <w:pPr>
        <w:spacing w:after="40"/>
      </w:pPr>
    </w:p>
    <w:p>
      <w:pPr>
        <w:pStyle w:val="Heading3"/>
        <w:keepNext/>
        <w:spacing w:before="180" w:after="80"/>
      </w:pPr>
      <w:r>
        <w:rPr>
          <w:rFonts w:ascii="游ゴシック" w:hAnsi="游ゴシック" w:eastAsia="游ゴシック"/>
          <w:b/>
          <w:i w:val="0"/>
          <w:color w:val="1F4D78"/>
          <w:sz w:val="22"/>
        </w:rPr>
        <w:t>認知症地域支援推進員の活動実績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i w:val="0"/>
                <w:sz w:val="17"/>
              </w:rPr>
              <w:t>何を数えるかが決まっていない</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配置4人（令和6年3月）</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現状値が「配置4人」で、これは体制（Ｔ）である。指標名の「活動実績」（Ｑ）と合っていない。</w:t>
            </w:r>
            <w:r>
              <w:rPr>
                <w:rFonts w:ascii="游ゴシック" w:hAnsi="游ゴシック" w:eastAsia="游ゴシック"/>
                <w:b w:val="0"/>
                <w:i w:val="0"/>
                <w:sz w:val="17"/>
              </w:rPr>
              <w:t>配置人数を指標とするか、活動の回数・件数を指標とするかを決める</w:t>
            </w:r>
          </w:p>
        </w:tc>
      </w:tr>
    </w:tbl>
    <w:p>
      <w:pPr>
        <w:spacing w:after="40"/>
      </w:pPr>
    </w:p>
    <w:p>
      <w:pPr>
        <w:pStyle w:val="Heading3"/>
        <w:keepNext/>
        <w:spacing w:before="180" w:after="80"/>
      </w:pPr>
      <w:r>
        <w:rPr>
          <w:rFonts w:ascii="游ゴシック" w:hAnsi="游ゴシック" w:eastAsia="游ゴシック"/>
          <w:b/>
          <w:i w:val="0"/>
          <w:color w:val="1F4D78"/>
          <w:sz w:val="22"/>
        </w:rPr>
        <w:t>認知症カフェの箇所数・参加者数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箇所数／参加者の延べ人数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年度末（箇所数）・年度（参加者数）</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1か所（令和6年4月）</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w:t>
            </w:r>
          </w:p>
        </w:tc>
      </w:tr>
    </w:tbl>
    <w:p>
      <w:pPr>
        <w:spacing w:after="40"/>
      </w:pPr>
    </w:p>
    <w:p>
      <w:pPr>
        <w:pStyle w:val="Heading3"/>
        <w:keepNext/>
        <w:spacing w:before="180" w:after="80"/>
      </w:pPr>
      <w:r>
        <w:rPr>
          <w:rFonts w:ascii="游ゴシック" w:hAnsi="游ゴシック" w:eastAsia="游ゴシック"/>
          <w:b/>
          <w:i w:val="0"/>
          <w:color w:val="1F4D78"/>
          <w:sz w:val="22"/>
        </w:rPr>
        <w:t>認知症サポーター養成講座の受講者数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受講者数（累計と当該年度を分ける）</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【見える化出力待ち】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累計と単年度を混ぜない。</w:t>
            </w:r>
            <w:r>
              <w:rPr>
                <w:rFonts w:ascii="游ゴシック" w:hAnsi="游ゴシック" w:eastAsia="游ゴシック"/>
                <w:b w:val="0"/>
                <w:i w:val="0"/>
                <w:sz w:val="17"/>
              </w:rPr>
              <w:t>どちらを目標値とするか決める</w:t>
            </w:r>
          </w:p>
        </w:tc>
      </w:tr>
    </w:tbl>
    <w:p>
      <w:pPr>
        <w:spacing w:after="40"/>
      </w:pPr>
    </w:p>
    <w:p>
      <w:pPr>
        <w:pStyle w:val="Heading3"/>
        <w:keepNext/>
        <w:spacing w:before="180" w:after="80"/>
      </w:pPr>
      <w:r>
        <w:rPr>
          <w:rFonts w:ascii="游ゴシック" w:hAnsi="游ゴシック" w:eastAsia="游ゴシック"/>
          <w:b/>
          <w:i w:val="0"/>
          <w:color w:val="1F4D78"/>
          <w:sz w:val="22"/>
        </w:rPr>
        <w:t>個別避難計画の策定率</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策定済みの計画数 ÷ 避難行動要支援者名簿の登録者数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i w:val="0"/>
                <w:sz w:val="17"/>
              </w:rPr>
              <w:t>避難行動要支援者名簿の登録者数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年度末</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分母が定まっていない。</w:t>
            </w:r>
            <w:r>
              <w:rPr>
                <w:rFonts w:ascii="游ゴシック" w:hAnsi="游ゴシック" w:eastAsia="游ゴシック"/>
                <w:b w:val="0"/>
                <w:i w:val="0"/>
                <w:sz w:val="17"/>
              </w:rPr>
              <w:t xml:space="preserve"> 名簿の登録者数とするのが素直だが、優先度の高い方に限る運用もある。どちらかを決める。参考として、調査からの推計では一人で避難できない方は約495人</w:t>
            </w:r>
          </w:p>
        </w:tc>
      </w:tr>
    </w:tbl>
    <w:p>
      <w:pPr>
        <w:spacing w:after="40"/>
      </w:pPr>
    </w:p>
    <w:p>
      <w:pPr>
        <w:pStyle w:val="Heading3"/>
        <w:keepNext/>
        <w:spacing w:before="180" w:after="80"/>
      </w:pPr>
      <w:r>
        <w:rPr>
          <w:rFonts w:ascii="游ゴシック" w:hAnsi="游ゴシック" w:eastAsia="游ゴシック"/>
          <w:b/>
          <w:i w:val="0"/>
          <w:color w:val="1F4D78"/>
          <w:sz w:val="22"/>
        </w:rPr>
        <w:t>（参考）対象規模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 xml:space="preserve">―　</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調査　（介護予防・日常生活圏域ニーズ調査及び在宅介護実態調査）</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一人で避難できない方 約495人（調査からの推計）</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目標値が「―」であり、指標ではない。</w:t>
            </w:r>
            <w:r>
              <w:rPr>
                <w:rFonts w:ascii="游ゴシック" w:hAnsi="游ゴシック" w:eastAsia="游ゴシック"/>
                <w:b w:val="0"/>
                <w:i w:val="0"/>
                <w:sz w:val="17"/>
              </w:rPr>
              <w:t>調査からの推計による参考値。年次評価の対象から外す</w:t>
            </w:r>
          </w:p>
        </w:tc>
      </w:tr>
    </w:tbl>
    <w:p>
      <w:pPr>
        <w:spacing w:after="40"/>
      </w:pPr>
    </w:p>
    <w:p>
      <w:pPr>
        <w:pStyle w:val="Heading3"/>
        <w:keepNext/>
        <w:spacing w:before="180" w:after="80"/>
      </w:pPr>
      <w:r>
        <w:rPr>
          <w:rFonts w:ascii="游ゴシック" w:hAnsi="游ゴシック" w:eastAsia="游ゴシック"/>
          <w:b/>
          <w:i w:val="0"/>
          <w:color w:val="1F4D78"/>
          <w:sz w:val="22"/>
        </w:rPr>
        <w:t>福祉避難所の指定数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Ｔ　体制</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指定した施設の数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年度末</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協定の締結のみの施設を含むかを明記する</w:t>
            </w:r>
          </w:p>
        </w:tc>
      </w:tr>
    </w:tbl>
    <w:p>
      <w:pPr>
        <w:spacing w:after="40"/>
      </w:pPr>
    </w:p>
    <w:p>
      <w:pPr>
        <w:pStyle w:val="Heading3"/>
        <w:keepNext/>
        <w:spacing w:before="180" w:after="80"/>
      </w:pPr>
      <w:r>
        <w:rPr>
          <w:rFonts w:ascii="游ゴシック" w:hAnsi="游ゴシック" w:eastAsia="游ゴシック"/>
          <w:b/>
          <w:i w:val="0"/>
          <w:color w:val="1F4D78"/>
          <w:sz w:val="22"/>
        </w:rPr>
        <w:t>移送・外出支援の利用者数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利用者の実人数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介護保険の給付によらない事業。事業ごとに分けて数える</w:t>
            </w:r>
          </w:p>
        </w:tc>
      </w:tr>
    </w:tbl>
    <w:p>
      <w:pPr>
        <w:spacing w:after="40"/>
      </w:pPr>
    </w:p>
    <w:p>
      <w:pPr>
        <w:pStyle w:val="Heading3"/>
        <w:keepNext/>
        <w:spacing w:before="180" w:after="80"/>
      </w:pPr>
      <w:r>
        <w:rPr>
          <w:rFonts w:ascii="游ゴシック" w:hAnsi="游ゴシック" w:eastAsia="游ゴシック"/>
          <w:b/>
          <w:i w:val="0"/>
          <w:color w:val="1F4D78"/>
          <w:sz w:val="22"/>
        </w:rPr>
        <w:t>短期入所の利用者数・利用日数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利用者数（人／月）／利用日数（日／月）</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年度（月平均）</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年報　（介護保険事業状況報告（年報））</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介護保険給付。年報の年度値による</w:t>
            </w:r>
          </w:p>
        </w:tc>
      </w:tr>
    </w:tbl>
    <w:p>
      <w:pPr>
        <w:spacing w:after="40"/>
      </w:pPr>
    </w:p>
    <w:p>
      <w:pPr>
        <w:pStyle w:val="Heading3"/>
        <w:keepNext/>
        <w:spacing w:before="180" w:after="80"/>
      </w:pPr>
      <w:r>
        <w:rPr>
          <w:rFonts w:ascii="游ゴシック" w:hAnsi="游ゴシック" w:eastAsia="游ゴシック"/>
          <w:b/>
          <w:i w:val="0"/>
          <w:color w:val="1F4D78"/>
          <w:sz w:val="22"/>
        </w:rPr>
        <w:t>配食・緊急通報等の利用者数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利用者の実人数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年度末</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事業ごとに分けて数える。</w:t>
            </w:r>
            <w:r>
              <w:rPr>
                <w:rFonts w:ascii="游ゴシック" w:hAnsi="游ゴシック" w:eastAsia="游ゴシック"/>
                <w:b w:val="0"/>
                <w:i w:val="0"/>
                <w:sz w:val="17"/>
              </w:rPr>
              <w:t>配食と緊急通報を合算しない</w:t>
            </w:r>
          </w:p>
        </w:tc>
      </w:tr>
    </w:tbl>
    <w:p>
      <w:pPr>
        <w:spacing w:after="40"/>
      </w:pPr>
    </w:p>
    <w:p>
      <w:pPr>
        <w:pStyle w:val="Heading3"/>
        <w:keepNext/>
        <w:spacing w:before="180" w:after="80"/>
      </w:pPr>
      <w:r>
        <w:rPr>
          <w:rFonts w:ascii="游ゴシック" w:hAnsi="游ゴシック" w:eastAsia="游ゴシック"/>
          <w:b/>
          <w:i w:val="0"/>
          <w:color w:val="1F4D78"/>
          <w:sz w:val="22"/>
        </w:rPr>
        <w:t>仕事と介護の両立に関する相談・周知の実施</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Ｔ　体制</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実施したかどうか</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事実確認　（実施したかどうかの確認（記録・要綱・名簿））</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周知の回数を数えるなら量（Ｑ）になる。どちらにするか決める</w:t>
            </w:r>
          </w:p>
        </w:tc>
      </w:tr>
    </w:tbl>
    <w:p>
      <w:pPr>
        <w:spacing w:after="40"/>
      </w:pPr>
    </w:p>
    <w:p>
      <w:pPr>
        <w:pStyle w:val="Heading3"/>
        <w:keepNext/>
        <w:spacing w:before="180" w:after="80"/>
      </w:pPr>
      <w:r>
        <w:rPr>
          <w:rFonts w:ascii="游ゴシック" w:hAnsi="游ゴシック" w:eastAsia="游ゴシック"/>
          <w:b/>
          <w:i w:val="0"/>
          <w:color w:val="1F4D78"/>
          <w:sz w:val="22"/>
        </w:rPr>
        <w:t>町内介護サービス事業所数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Ｔ　体制</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町内の介護サービス事業所の数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年度末</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見える化　（地域包括ケア「見える化」システム）</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【見える化出力待ち】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維持</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サービス種類ごとの内訳を併せて記録する</w:t>
            </w:r>
          </w:p>
        </w:tc>
      </w:tr>
    </w:tbl>
    <w:p>
      <w:pPr>
        <w:spacing w:after="40"/>
      </w:pPr>
    </w:p>
    <w:p>
      <w:pPr>
        <w:pStyle w:val="Heading3"/>
        <w:keepNext/>
        <w:spacing w:before="180" w:after="80"/>
      </w:pPr>
      <w:r>
        <w:rPr>
          <w:rFonts w:ascii="游ゴシック" w:hAnsi="游ゴシック" w:eastAsia="游ゴシック"/>
          <w:b/>
          <w:i w:val="0"/>
          <w:color w:val="1F4D78"/>
          <w:sz w:val="22"/>
        </w:rPr>
        <w:t>介護サービス自給率</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町内事業所による給付費 ÷ 町民に係る給付費の総額</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町民に係る給付費の総額</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見える化　（地域包括ケア「見える化」システム）</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67.57％</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現状値67.57％は見える化の定義による。</w:t>
            </w:r>
            <w:r>
              <w:rPr>
                <w:rFonts w:ascii="游ゴシック" w:hAnsi="游ゴシック" w:eastAsia="游ゴシック"/>
                <w:b w:val="0"/>
                <w:i w:val="0"/>
                <w:sz w:val="17"/>
              </w:rPr>
              <w:t>施設・居住系と在宅を分けた値も併せて記録する</w:t>
            </w:r>
          </w:p>
        </w:tc>
      </w:tr>
    </w:tbl>
    <w:p>
      <w:pPr>
        <w:spacing w:after="40"/>
      </w:pPr>
    </w:p>
    <w:p>
      <w:pPr>
        <w:pStyle w:val="Heading3"/>
        <w:keepNext/>
        <w:spacing w:before="180" w:after="80"/>
      </w:pPr>
      <w:r>
        <w:rPr>
          <w:rFonts w:ascii="游ゴシック" w:hAnsi="游ゴシック" w:eastAsia="游ゴシック"/>
          <w:b/>
          <w:i w:val="0"/>
          <w:color w:val="1F4D78"/>
          <w:sz w:val="22"/>
        </w:rPr>
        <w:t>県事業・基金の活用件数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活用した件数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対象となる県事業・基金の範囲を列挙しておく</w:t>
            </w:r>
          </w:p>
        </w:tc>
      </w:tr>
    </w:tbl>
    <w:p>
      <w:pPr>
        <w:spacing w:after="40"/>
      </w:pPr>
    </w:p>
    <w:p>
      <w:pPr>
        <w:pStyle w:val="Heading3"/>
        <w:keepNext/>
        <w:spacing w:before="180" w:after="80"/>
      </w:pPr>
      <w:r>
        <w:rPr>
          <w:rFonts w:ascii="游ゴシック" w:hAnsi="游ゴシック" w:eastAsia="游ゴシック"/>
          <w:b/>
          <w:i w:val="0"/>
          <w:color w:val="1F4D78"/>
          <w:sz w:val="22"/>
        </w:rPr>
        <w:t>4つの場面ごとの目指すべき姿の設定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Ｔ　体制</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設定したかどうか（4場面）</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事実確認　（実施したかどうかの確認（記録・要綱・名簿））</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未設定</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令和9年度に設定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令和9年度に設定する。設定後は場面ごとの取組の指標に移る</w:t>
            </w:r>
          </w:p>
        </w:tc>
      </w:tr>
    </w:tbl>
    <w:p>
      <w:pPr>
        <w:spacing w:after="40"/>
      </w:pPr>
    </w:p>
    <w:p>
      <w:pPr>
        <w:pStyle w:val="Heading3"/>
        <w:keepNext/>
        <w:spacing w:before="180" w:after="80"/>
      </w:pPr>
      <w:r>
        <w:rPr>
          <w:rFonts w:ascii="游ゴシック" w:hAnsi="游ゴシック" w:eastAsia="游ゴシック"/>
          <w:b/>
          <w:i w:val="0"/>
          <w:color w:val="1F4D78"/>
          <w:sz w:val="22"/>
        </w:rPr>
        <w:t>多職種研修の開催回数・参加者数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開催回数／参加者の延べ人数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郡市医師会等との共催分を含むかを明記する</w:t>
            </w:r>
          </w:p>
        </w:tc>
      </w:tr>
    </w:tbl>
    <w:p>
      <w:pPr>
        <w:spacing w:after="40"/>
      </w:pPr>
    </w:p>
    <w:p>
      <w:pPr>
        <w:pStyle w:val="Heading3"/>
        <w:keepNext/>
        <w:spacing w:before="180" w:after="80"/>
      </w:pPr>
      <w:r>
        <w:rPr>
          <w:rFonts w:ascii="游ゴシック" w:hAnsi="游ゴシック" w:eastAsia="游ゴシック"/>
          <w:b/>
          <w:i w:val="0"/>
          <w:color w:val="1F4D78"/>
          <w:sz w:val="22"/>
        </w:rPr>
        <w:t>入院時情報連携加算の算定者数割合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加算の算定者数 ÷ 居宅介護支援の受給者数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居宅介護支援の受給者数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見える化　（地域包括ケア「見える化」システム）</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【見える化出力待ち】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見える化の出力を待って算式を確定する</w:t>
            </w:r>
          </w:p>
        </w:tc>
      </w:tr>
    </w:tbl>
    <w:p>
      <w:pPr>
        <w:spacing w:after="40"/>
      </w:pPr>
    </w:p>
    <w:p>
      <w:pPr>
        <w:pStyle w:val="Heading3"/>
        <w:keepNext/>
        <w:spacing w:before="180" w:after="80"/>
      </w:pPr>
      <w:r>
        <w:rPr>
          <w:rFonts w:ascii="游ゴシック" w:hAnsi="游ゴシック" w:eastAsia="游ゴシック"/>
          <w:b/>
          <w:i w:val="0"/>
          <w:color w:val="1F4D78"/>
          <w:sz w:val="22"/>
        </w:rPr>
        <w:t>退院・退所加算の算定者数割合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加算の算定者数 ÷ 居宅介護支援の受給者数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居宅介護支援の受給者数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見える化　（地域包括ケア「見える化」システム）</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【見える化出力待ち】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同上</w:t>
            </w:r>
          </w:p>
        </w:tc>
      </w:tr>
    </w:tbl>
    <w:p>
      <w:pPr>
        <w:spacing w:after="40"/>
      </w:pPr>
    </w:p>
    <w:p>
      <w:pPr>
        <w:pStyle w:val="Heading3"/>
        <w:keepNext/>
        <w:spacing w:before="180" w:after="80"/>
      </w:pPr>
      <w:r>
        <w:rPr>
          <w:rFonts w:ascii="游ゴシック" w:hAnsi="游ゴシック" w:eastAsia="游ゴシック"/>
          <w:b/>
          <w:i w:val="0"/>
          <w:color w:val="1F4D78"/>
          <w:sz w:val="22"/>
        </w:rPr>
        <w:t>取組の検証の実施</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Ｔ　体制</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検証を行ったかどうか</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事実確認　（実施したかどうかの確認（記録・要綱・名簿））</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毎年度実施</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毎年度実施。検証の結果を協議会に報告したことを記録する</w:t>
            </w:r>
          </w:p>
        </w:tc>
      </w:tr>
    </w:tbl>
    <w:p>
      <w:pPr>
        <w:spacing w:after="40"/>
      </w:pPr>
    </w:p>
    <w:p>
      <w:pPr>
        <w:pStyle w:val="Heading2"/>
        <w:keepNext/>
        <w:spacing w:before="180" w:after="100"/>
      </w:pPr>
      <w:bookmarkStart w:id="111" w:name="_Toc_011"/>
      <w:r>
        <w:rPr>
          <w:rFonts w:ascii="游ゴシック" w:hAnsi="游ゴシック" w:eastAsia="游ゴシック"/>
          <w:b/>
          <w:i w:val="0"/>
          <w:color w:val="2E74B5"/>
          <w:sz w:val="25"/>
        </w:rPr>
        <w:t>基本目標3　介護サービスの充実</w:t>
      </w:r>
      <w:bookmarkEnd w:id="111"/>
    </w:p>
    <w:p>
      <w:pPr>
        <w:pStyle w:val="Heading3"/>
        <w:keepNext/>
        <w:spacing w:before="180" w:after="80"/>
      </w:pPr>
      <w:r>
        <w:rPr>
          <w:rFonts w:ascii="游ゴシック" w:hAnsi="游ゴシック" w:eastAsia="游ゴシック"/>
          <w:b/>
          <w:i w:val="0"/>
          <w:color w:val="1F4D78"/>
          <w:sz w:val="22"/>
        </w:rPr>
        <w:t>地域ケア会議の開催回数・検討件数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開催回数／検討した事例の件数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基本目標2②と基本目標3①に同じ指標が二重に置かれている。</w:t>
            </w:r>
            <w:r>
              <w:rPr>
                <w:rFonts w:ascii="游ゴシック" w:hAnsi="游ゴシック" w:eastAsia="游ゴシック"/>
                <w:b w:val="0"/>
                <w:i w:val="0"/>
                <w:sz w:val="17"/>
              </w:rPr>
              <w:t>どちらか一方に寄せるか、数えるものを分ける（2②は地域課題の検討、3①は個別事例の検討など）</w:t>
            </w:r>
          </w:p>
        </w:tc>
      </w:tr>
    </w:tbl>
    <w:p>
      <w:pPr>
        <w:spacing w:after="40"/>
      </w:pPr>
    </w:p>
    <w:p>
      <w:pPr>
        <w:pStyle w:val="Heading3"/>
        <w:keepNext/>
        <w:spacing w:before="180" w:after="80"/>
      </w:pPr>
      <w:r>
        <w:rPr>
          <w:rFonts w:ascii="游ゴシック" w:hAnsi="游ゴシック" w:eastAsia="游ゴシック"/>
          <w:b/>
          <w:i w:val="0"/>
          <w:color w:val="1F4D78"/>
          <w:sz w:val="22"/>
        </w:rPr>
        <w:t>要介護認定の適正化の実施状況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Ｔ　体制</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実施したかどうか</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事実確認　（実施したかどうかの確認（記録・要綱・名簿））</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実施</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継続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認定調査員の研修・審査会の運営・認定審査の点検のどれを数えるか決める</w:t>
            </w:r>
          </w:p>
        </w:tc>
      </w:tr>
    </w:tbl>
    <w:p>
      <w:pPr>
        <w:spacing w:after="40"/>
      </w:pPr>
    </w:p>
    <w:p>
      <w:pPr>
        <w:pStyle w:val="Heading3"/>
        <w:keepNext/>
        <w:spacing w:before="180" w:after="80"/>
      </w:pPr>
      <w:r>
        <w:rPr>
          <w:rFonts w:ascii="游ゴシック" w:hAnsi="游ゴシック" w:eastAsia="游ゴシック"/>
          <w:b/>
          <w:i w:val="0"/>
          <w:color w:val="1F4D78"/>
          <w:sz w:val="22"/>
        </w:rPr>
        <w:t>ケアプラン点検の実施件数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点検した件数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―（実数）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町実績　（町の事業実績（担当課の集計））</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交付金の評価指標でも問われる。</w:t>
            </w:r>
            <w:r>
              <w:rPr>
                <w:rFonts w:ascii="游ゴシック" w:hAnsi="游ゴシック" w:eastAsia="游ゴシック"/>
                <w:b w:val="0"/>
                <w:i w:val="0"/>
                <w:sz w:val="17"/>
              </w:rPr>
              <w:t>件数と対象事業所数を分けて記録する</w:t>
            </w:r>
          </w:p>
        </w:tc>
      </w:tr>
    </w:tbl>
    <w:p>
      <w:pPr>
        <w:spacing w:after="40"/>
      </w:pPr>
    </w:p>
    <w:p>
      <w:pPr>
        <w:pStyle w:val="Heading3"/>
        <w:keepNext/>
        <w:spacing w:before="180" w:after="80"/>
      </w:pPr>
      <w:r>
        <w:rPr>
          <w:rFonts w:ascii="游ゴシック" w:hAnsi="游ゴシック" w:eastAsia="游ゴシック"/>
          <w:b/>
          <w:i w:val="0"/>
          <w:color w:val="1F4D78"/>
          <w:sz w:val="22"/>
        </w:rPr>
        <w:t>医療情報との突合の実施割合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国の評価指標の得点 ÷ 満点</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当該評価指標の満点</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交付金　（保険者機能強化推進交付金等の評価指標）</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全国上位1割（令和6年度）</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水準の維持</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現状値「全国上位1割」は国の評価指標による位置。</w:t>
            </w:r>
            <w:r>
              <w:rPr>
                <w:rFonts w:ascii="游ゴシック" w:hAnsi="游ゴシック" w:eastAsia="游ゴシック"/>
                <w:b w:val="0"/>
                <w:i w:val="0"/>
                <w:sz w:val="17"/>
              </w:rPr>
              <w:t>得点そのものを指標とするか、順位とするかを決める</w:t>
            </w:r>
          </w:p>
        </w:tc>
      </w:tr>
    </w:tbl>
    <w:p>
      <w:pPr>
        <w:spacing w:after="40"/>
      </w:pPr>
    </w:p>
    <w:p>
      <w:pPr>
        <w:pStyle w:val="Heading3"/>
        <w:keepNext/>
        <w:spacing w:before="180" w:after="80"/>
      </w:pPr>
      <w:r>
        <w:rPr>
          <w:rFonts w:ascii="游ゴシック" w:hAnsi="游ゴシック" w:eastAsia="游ゴシック"/>
          <w:b/>
          <w:i w:val="0"/>
          <w:color w:val="1F4D78"/>
          <w:sz w:val="22"/>
        </w:rPr>
        <w:t>要介護度の維持・改善率</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i w:val="0"/>
                <w:sz w:val="17"/>
              </w:rPr>
              <w:t>算式が定まっていない</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i w:val="0"/>
                <w:sz w:val="17"/>
              </w:rPr>
              <w:t>母数も定まっていない（新規認定者か全認定者か）</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見える化　（地域包括ケア「見える化」システム）</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【町データ待ち】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一定期間後に要介護度が維持または改善した方の割合</w:t>
            </w:r>
            <w:r>
              <w:rPr>
                <w:rFonts w:ascii="游ゴシック" w:hAnsi="游ゴシック" w:eastAsia="游ゴシック"/>
                <w:b w:val="0"/>
                <w:i w:val="0"/>
                <w:sz w:val="17"/>
              </w:rPr>
              <w:t>とするのが一般的だが、期間（12か月か）と対象（新規認定者か全認定者か）を決めないと測れない。見える化に同種の指標がある</w:t>
            </w:r>
          </w:p>
        </w:tc>
      </w:tr>
    </w:tbl>
    <w:p>
      <w:pPr>
        <w:spacing w:after="40"/>
      </w:pPr>
    </w:p>
    <w:p>
      <w:pPr>
        <w:pStyle w:val="Heading3"/>
        <w:keepNext/>
        <w:spacing w:before="180" w:after="80"/>
      </w:pPr>
      <w:r>
        <w:rPr>
          <w:rFonts w:ascii="游ゴシック" w:hAnsi="游ゴシック" w:eastAsia="游ゴシック"/>
          <w:b/>
          <w:i w:val="0"/>
          <w:color w:val="1F4D78"/>
          <w:sz w:val="22"/>
        </w:rPr>
        <w:t>在宅サービス受給率</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 xml:space="preserve">在宅サービス受給者数 ÷ </w:t>
            </w:r>
            <w:r>
              <w:rPr>
                <w:rFonts w:ascii="游ゴシック" w:hAnsi="游ゴシック" w:eastAsia="游ゴシック"/>
                <w:b/>
                <w:i w:val="0"/>
                <w:sz w:val="17"/>
              </w:rPr>
              <w:t>母数が定まっていない</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i w:val="0"/>
                <w:sz w:val="17"/>
              </w:rPr>
              <w:t>第1号被保険者数か認定者数かが定まっていない</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見える化　（地域包括ケア「見える化」システム）</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10.3％</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現状値10.3％は第1号被保険者数を分母としたものと見られる。</w:t>
            </w:r>
            <w:r>
              <w:rPr>
                <w:rFonts w:ascii="游ゴシック" w:hAnsi="游ゴシック" w:eastAsia="游ゴシック"/>
                <w:b w:val="0"/>
                <w:i w:val="0"/>
                <w:sz w:val="17"/>
              </w:rPr>
              <w:t>認定者数を分母にすると値が大きく変わる。</w:t>
            </w:r>
            <w:r>
              <w:rPr>
                <w:rFonts w:ascii="游ゴシック" w:hAnsi="游ゴシック" w:eastAsia="游ゴシック"/>
                <w:b/>
                <w:i w:val="0"/>
                <w:sz w:val="17"/>
              </w:rPr>
              <w:t>どちらかを決める</w:t>
            </w:r>
          </w:p>
        </w:tc>
      </w:tr>
    </w:tbl>
    <w:p>
      <w:pPr>
        <w:spacing w:after="40"/>
      </w:pPr>
    </w:p>
    <w:p>
      <w:pPr>
        <w:pStyle w:val="Heading3"/>
        <w:keepNext/>
        <w:spacing w:before="180" w:after="80"/>
      </w:pPr>
      <w:r>
        <w:rPr>
          <w:rFonts w:ascii="游ゴシック" w:hAnsi="游ゴシック" w:eastAsia="游ゴシック"/>
          <w:b/>
          <w:i w:val="0"/>
          <w:color w:val="1F4D78"/>
          <w:sz w:val="22"/>
        </w:rPr>
        <w:t>認定者に対する受給者の比率</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受給者数 ÷ 認定者数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認定者数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年報　（介護保険事業状況報告（年報））</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【見える化出力待ち】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val="0"/>
                <w:i w:val="0"/>
                <w:sz w:val="17"/>
              </w:rPr>
              <w:t>居宅・施設・地域密着型を合わせた受給者数とする</w:t>
            </w:r>
          </w:p>
        </w:tc>
      </w:tr>
    </w:tbl>
    <w:p>
      <w:pPr>
        <w:spacing w:after="40"/>
      </w:pPr>
    </w:p>
    <w:p>
      <w:pPr>
        <w:pStyle w:val="Heading3"/>
        <w:keepNext/>
        <w:spacing w:before="180" w:after="80"/>
      </w:pPr>
      <w:r>
        <w:rPr>
          <w:rFonts w:ascii="游ゴシック" w:hAnsi="游ゴシック" w:eastAsia="游ゴシック"/>
          <w:b/>
          <w:i w:val="0"/>
          <w:color w:val="1F4D78"/>
          <w:sz w:val="22"/>
        </w:rPr>
        <w:t>サービス未利用者の割合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Ｊ　状態</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未利用と答えた方の数 ÷ 有効回答数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調査の有効回答数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調査の実施年度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調査　（介護予防・日常生活圏域ニーズ調査及び在宅介護実態調査）</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42.1％</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調査でしか測れない。</w:t>
            </w:r>
            <w:r>
              <w:rPr>
                <w:rFonts w:ascii="游ゴシック" w:hAnsi="游ゴシック" w:eastAsia="游ゴシック"/>
                <w:b w:val="0"/>
                <w:i w:val="0"/>
                <w:sz w:val="17"/>
              </w:rPr>
              <w:t xml:space="preserve"> 現状値42.1％。毎年度測るなら</w:t>
            </w:r>
            <w:r>
              <w:rPr>
                <w:rFonts w:ascii="游ゴシック" w:hAnsi="游ゴシック" w:eastAsia="游ゴシック"/>
                <w:b/>
                <w:i w:val="0"/>
                <w:sz w:val="17"/>
              </w:rPr>
              <w:t>年報による「認定者−受給者」</w:t>
            </w:r>
            <w:r>
              <w:rPr>
                <w:rFonts w:ascii="游ゴシック" w:hAnsi="游ゴシック" w:eastAsia="游ゴシック"/>
                <w:b w:val="0"/>
                <w:i w:val="0"/>
                <w:sz w:val="17"/>
              </w:rPr>
              <w:t>に置き換えられるが、調査の42.1％とは別物であり並べて比べない</w:t>
            </w:r>
          </w:p>
        </w:tc>
      </w:tr>
    </w:tbl>
    <w:p>
      <w:pPr>
        <w:spacing w:after="40"/>
      </w:pPr>
    </w:p>
    <w:p>
      <w:pPr>
        <w:pStyle w:val="Heading3"/>
        <w:keepNext/>
        <w:spacing w:before="180" w:after="80"/>
      </w:pPr>
      <w:r>
        <w:rPr>
          <w:rFonts w:ascii="游ゴシック" w:hAnsi="游ゴシック" w:eastAsia="游ゴシック"/>
          <w:b/>
          <w:i w:val="0"/>
          <w:color w:val="1F4D78"/>
          <w:sz w:val="22"/>
        </w:rPr>
        <w:t>未利用理由の把握状況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Ｔ　体制</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把握したかどうか</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調査の実施年度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調査　（介護予防・日常生活圏域ニーズ調査及び在宅介護実態調査）</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令和7年度調査で把握</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次期調査で継続把握</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次期調査で継続把握するとしているため、調査を行った年度しか○にならない。</w:t>
            </w:r>
            <w:r>
              <w:rPr>
                <w:rFonts w:ascii="游ゴシック" w:hAnsi="游ゴシック" w:eastAsia="游ゴシック"/>
                <w:b w:val="0"/>
                <w:i w:val="0"/>
                <w:sz w:val="17"/>
              </w:rPr>
              <w:t>計画期間中に調査がない年度は「評価できない」となる</w:t>
            </w:r>
          </w:p>
        </w:tc>
      </w:tr>
    </w:tbl>
    <w:p>
      <w:pPr>
        <w:spacing w:after="40"/>
      </w:pPr>
    </w:p>
    <w:p>
      <w:pPr>
        <w:pStyle w:val="Heading3"/>
        <w:keepNext/>
        <w:spacing w:before="180" w:after="80"/>
      </w:pPr>
      <w:r>
        <w:rPr>
          <w:rFonts w:ascii="游ゴシック" w:hAnsi="游ゴシック" w:eastAsia="游ゴシック"/>
          <w:b/>
          <w:i w:val="0"/>
          <w:color w:val="1F4D78"/>
          <w:sz w:val="22"/>
        </w:rPr>
        <w:t>介護老人福祉施設の町内自給率</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層</w:t>
            </w:r>
          </w:p>
        </w:tc>
        <w:tc>
          <w:tcPr>
            <w:tcW w:type="dxa" w:w="7824"/>
            <w:vAlign w:val="center"/>
          </w:tcPr>
          <w:p>
            <w:pPr>
              <w:spacing w:before="20" w:after="20"/>
            </w:pPr>
            <w:r>
              <w:rPr>
                <w:rFonts w:ascii="游ゴシック" w:hAnsi="游ゴシック" w:eastAsia="游ゴシック"/>
                <w:b w:val="0"/>
                <w:i w:val="0"/>
                <w:sz w:val="17"/>
              </w:rPr>
              <w:t>Ｑ　量</w:t>
            </w:r>
          </w:p>
        </w:tc>
      </w:tr>
      <w:tr>
        <w:tc>
          <w:tcPr>
            <w:tcW w:type="dxa" w:w="1928"/>
            <w:vAlign w:val="center"/>
          </w:tcPr>
          <w:p>
            <w:pPr>
              <w:spacing w:before="20" w:after="20"/>
            </w:pPr>
            <w:r>
              <w:rPr>
                <w:rFonts w:ascii="游ゴシック" w:hAnsi="游ゴシック" w:eastAsia="游ゴシック"/>
                <w:b w:val="0"/>
                <w:i w:val="0"/>
                <w:sz w:val="17"/>
              </w:rPr>
              <w:t>算式</w:t>
            </w:r>
          </w:p>
        </w:tc>
        <w:tc>
          <w:tcPr>
            <w:tcW w:type="dxa" w:w="7824"/>
            <w:vAlign w:val="center"/>
          </w:tcPr>
          <w:p>
            <w:pPr>
              <w:spacing w:before="20" w:after="20"/>
            </w:pPr>
            <w:r>
              <w:rPr>
                <w:rFonts w:ascii="游ゴシック" w:hAnsi="游ゴシック" w:eastAsia="游ゴシック"/>
                <w:b w:val="0"/>
                <w:i w:val="0"/>
                <w:sz w:val="17"/>
              </w:rPr>
              <w:t>町内施設の定員 ÷ 町民の施設サービス受給者数</w:t>
            </w:r>
          </w:p>
        </w:tc>
      </w:tr>
      <w:tr>
        <w:tc>
          <w:tcPr>
            <w:tcW w:type="dxa" w:w="1928"/>
            <w:vAlign w:val="center"/>
          </w:tcPr>
          <w:p>
            <w:pPr>
              <w:spacing w:before="20" w:after="20"/>
            </w:pPr>
            <w:r>
              <w:rPr>
                <w:rFonts w:ascii="游ゴシック" w:hAnsi="游ゴシック" w:eastAsia="游ゴシック"/>
                <w:b w:val="0"/>
                <w:i w:val="0"/>
                <w:sz w:val="17"/>
              </w:rPr>
              <w:t>母数</w:t>
            </w:r>
          </w:p>
        </w:tc>
        <w:tc>
          <w:tcPr>
            <w:tcW w:type="dxa" w:w="7824"/>
            <w:vAlign w:val="center"/>
          </w:tcPr>
          <w:p>
            <w:pPr>
              <w:spacing w:before="20" w:after="20"/>
            </w:pPr>
            <w:r>
              <w:rPr>
                <w:rFonts w:ascii="游ゴシック" w:hAnsi="游ゴシック" w:eastAsia="游ゴシック"/>
                <w:b w:val="0"/>
                <w:i w:val="0"/>
                <w:sz w:val="17"/>
              </w:rPr>
              <w:t>町民の介護老人福祉施設の受給者数</w:t>
            </w:r>
          </w:p>
        </w:tc>
      </w:tr>
      <w:tr>
        <w:tc>
          <w:tcPr>
            <w:tcW w:type="dxa" w:w="1928"/>
            <w:vAlign w:val="center"/>
          </w:tcPr>
          <w:p>
            <w:pPr>
              <w:spacing w:before="20" w:after="20"/>
            </w:pPr>
            <w:r>
              <w:rPr>
                <w:rFonts w:ascii="游ゴシック" w:hAnsi="游ゴシック" w:eastAsia="游ゴシック"/>
                <w:b w:val="0"/>
                <w:i w:val="0"/>
                <w:sz w:val="17"/>
              </w:rPr>
              <w:t>基準時点</w:t>
            </w:r>
          </w:p>
        </w:tc>
        <w:tc>
          <w:tcPr>
            <w:tcW w:type="dxa" w:w="7824"/>
            <w:vAlign w:val="center"/>
          </w:tcPr>
          <w:p>
            <w:pPr>
              <w:spacing w:before="20" w:after="20"/>
            </w:pPr>
            <w:r>
              <w:rPr>
                <w:rFonts w:ascii="游ゴシック" w:hAnsi="游ゴシック" w:eastAsia="游ゴシック"/>
                <w:b w:val="0"/>
                <w:i w:val="0"/>
                <w:sz w:val="17"/>
              </w:rPr>
              <w:t>年度</w:t>
            </w:r>
          </w:p>
        </w:tc>
      </w:tr>
      <w:tr>
        <w:tc>
          <w:tcPr>
            <w:tcW w:type="dxa" w:w="1928"/>
            <w:vAlign w:val="center"/>
          </w:tcPr>
          <w:p>
            <w:pPr>
              <w:spacing w:before="20" w:after="20"/>
            </w:pPr>
            <w:r>
              <w:rPr>
                <w:rFonts w:ascii="游ゴシック" w:hAnsi="游ゴシック" w:eastAsia="游ゴシック"/>
                <w:b w:val="0"/>
                <w:i w:val="0"/>
                <w:sz w:val="17"/>
              </w:rPr>
              <w:t>データ源</w:t>
            </w:r>
          </w:p>
        </w:tc>
        <w:tc>
          <w:tcPr>
            <w:tcW w:type="dxa" w:w="7824"/>
            <w:vAlign w:val="center"/>
          </w:tcPr>
          <w:p>
            <w:pPr>
              <w:spacing w:before="20" w:after="20"/>
            </w:pPr>
            <w:r>
              <w:rPr>
                <w:rFonts w:ascii="游ゴシック" w:hAnsi="游ゴシック" w:eastAsia="游ゴシック"/>
                <w:b w:val="0"/>
                <w:i w:val="0"/>
                <w:sz w:val="17"/>
              </w:rPr>
              <w:t>見える化　（地域包括ケア「見える化」システム）</w:t>
            </w:r>
          </w:p>
        </w:tc>
      </w:tr>
      <w:tr>
        <w:tc>
          <w:tcPr>
            <w:tcW w:type="dxa" w:w="1928"/>
            <w:vAlign w:val="center"/>
          </w:tcPr>
          <w:p>
            <w:pPr>
              <w:spacing w:before="20" w:after="20"/>
            </w:pPr>
            <w:r>
              <w:rPr>
                <w:rFonts w:ascii="游ゴシック" w:hAnsi="游ゴシック" w:eastAsia="游ゴシック"/>
                <w:b/>
                <w:i w:val="0"/>
                <w:sz w:val="17"/>
              </w:rPr>
              <w:t>毎年度取得可能か</w:t>
            </w:r>
          </w:p>
        </w:tc>
        <w:tc>
          <w:tcPr>
            <w:tcW w:type="dxa" w:w="7824"/>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素案の現状値</w:t>
            </w:r>
          </w:p>
        </w:tc>
        <w:tc>
          <w:tcPr>
            <w:tcW w:type="dxa" w:w="7824"/>
            <w:vAlign w:val="center"/>
          </w:tcPr>
          <w:p>
            <w:pPr>
              <w:spacing w:before="20" w:after="20"/>
            </w:pPr>
            <w:r>
              <w:rPr>
                <w:rFonts w:ascii="游ゴシック" w:hAnsi="游ゴシック" w:eastAsia="游ゴシック"/>
                <w:b w:val="0"/>
                <w:i w:val="0"/>
                <w:sz w:val="17"/>
              </w:rPr>
              <w:t>79.9％（54人÷67.6人）</w:t>
            </w:r>
          </w:p>
        </w:tc>
      </w:tr>
      <w:tr>
        <w:tc>
          <w:tcPr>
            <w:tcW w:type="dxa" w:w="1928"/>
            <w:vAlign w:val="center"/>
          </w:tcPr>
          <w:p>
            <w:pPr>
              <w:keepNext/>
              <w:spacing w:before="20" w:after="20"/>
            </w:pPr>
            <w:r>
              <w:rPr>
                <w:rFonts w:ascii="游ゴシック" w:hAnsi="游ゴシック" w:eastAsia="游ゴシック"/>
                <w:b w:val="0"/>
                <w:i w:val="0"/>
                <w:sz w:val="17"/>
              </w:rPr>
              <w:t>素案の目標値</w:t>
            </w:r>
          </w:p>
        </w:tc>
        <w:tc>
          <w:tcPr>
            <w:tcW w:type="dxa" w:w="7824"/>
            <w:vAlign w:val="center"/>
          </w:tcPr>
          <w:p>
            <w:pPr>
              <w:keepNext/>
              <w:spacing w:before="20" w:after="20"/>
            </w:pPr>
            <w:r>
              <w:rPr>
                <w:rFonts w:ascii="游ゴシック" w:hAnsi="游ゴシック" w:eastAsia="游ゴシック"/>
                <w:b w:val="0"/>
                <w:i w:val="0"/>
                <w:sz w:val="17"/>
              </w:rPr>
              <w:t>【協議会で設定】</w:t>
            </w:r>
          </w:p>
        </w:tc>
      </w:tr>
      <w:tr>
        <w:tc>
          <w:tcPr>
            <w:tcW w:type="dxa" w:w="1928"/>
            <w:vAlign w:val="center"/>
          </w:tcPr>
          <w:p>
            <w:pPr>
              <w:spacing w:before="20" w:after="20"/>
            </w:pPr>
            <w:r>
              <w:rPr>
                <w:rFonts w:ascii="游ゴシック" w:hAnsi="游ゴシック" w:eastAsia="游ゴシック"/>
                <w:b w:val="0"/>
                <w:i w:val="0"/>
                <w:sz w:val="17"/>
              </w:rPr>
              <w:t>決めること・注意</w:t>
            </w:r>
          </w:p>
        </w:tc>
        <w:tc>
          <w:tcPr>
            <w:tcW w:type="dxa" w:w="7824"/>
            <w:vAlign w:val="center"/>
          </w:tcPr>
          <w:p>
            <w:pPr>
              <w:spacing w:before="20" w:after="20"/>
            </w:pPr>
            <w:r>
              <w:rPr>
                <w:rFonts w:ascii="游ゴシック" w:hAnsi="游ゴシック" w:eastAsia="游ゴシック"/>
                <w:b/>
                <w:i w:val="0"/>
                <w:sz w:val="17"/>
              </w:rPr>
              <w:t>現状値79.9％（54人÷67.6人）は算式が明示されている。</w:t>
            </w:r>
            <w:r>
              <w:rPr>
                <w:rFonts w:ascii="游ゴシック" w:hAnsi="游ゴシック" w:eastAsia="游ゴシック"/>
                <w:b w:val="0"/>
                <w:i w:val="0"/>
                <w:sz w:val="17"/>
              </w:rPr>
              <w:t>分子を定員とするか町内施設の利用者数とするかで値が変わる</w:t>
            </w:r>
          </w:p>
        </w:tc>
      </w:tr>
    </w:tbl>
    <w:p>
      <w:pPr>
        <w:spacing w:after="40"/>
      </w:pPr>
    </w:p>
    <w:p>
      <w:pPr>
        <w:pStyle w:val="Heading1"/>
        <w:keepNext/>
        <w:spacing w:before="240" w:after="100"/>
      </w:pPr>
      <w:bookmarkStart w:id="112" w:name="_Toc_012"/>
      <w:r>
        <w:rPr>
          <w:rFonts w:ascii="游ゴシック" w:hAnsi="游ゴシック" w:eastAsia="游ゴシック"/>
          <w:b/>
          <w:i w:val="0"/>
          <w:color w:val="2E74B5"/>
          <w:sz w:val="30"/>
        </w:rPr>
        <w:t>4　障がい計画の成果目標・活動指標の仕様</w:t>
      </w:r>
      <w:bookmarkEnd w:id="112"/>
    </w:p>
    <w:p>
      <w:pPr>
        <w:spacing w:before="60" w:after="60"/>
      </w:pPr>
      <w:r>
        <w:rPr>
          <w:rFonts w:ascii="游ゴシック" w:hAnsi="游ゴシック" w:eastAsia="游ゴシック"/>
          <w:b w:val="0"/>
          <w:i w:val="0"/>
          <w:sz w:val="21"/>
        </w:rPr>
        <w:t>障がい福祉計画・障がい児福祉計画の成果目標と活動指標は、</w:t>
      </w:r>
      <w:r>
        <w:rPr>
          <w:rFonts w:ascii="游ゴシック" w:hAnsi="游ゴシック" w:eastAsia="游ゴシック"/>
          <w:b/>
          <w:i w:val="0"/>
          <w:sz w:val="21"/>
        </w:rPr>
        <w:t>国の基本指針が項目と考え方を示しています。</w:t>
      </w:r>
      <w:r>
        <w:rPr>
          <w:rFonts w:ascii="游ゴシック" w:hAnsi="游ゴシック" w:eastAsia="游ゴシック"/>
          <w:b w:val="0"/>
          <w:i w:val="0"/>
          <w:sz w:val="21"/>
        </w:rPr>
        <w:t xml:space="preserve"> したがって高齢者計画とは違い、</w:t>
      </w:r>
      <w:r>
        <w:rPr>
          <w:rFonts w:ascii="游ゴシック" w:hAnsi="游ゴシック" w:eastAsia="游ゴシック"/>
          <w:b/>
          <w:i w:val="0"/>
          <w:sz w:val="21"/>
        </w:rPr>
        <w:t>算式の多くは町が決めるものではありません。</w:t>
      </w:r>
      <w:r>
        <w:rPr>
          <w:rFonts w:ascii="游ゴシック" w:hAnsi="游ゴシック" w:eastAsia="游ゴシック"/>
          <w:b w:val="0"/>
          <w:i w:val="0"/>
          <w:sz w:val="21"/>
        </w:rPr>
        <w:t xml:space="preserve"> 町が決めるのは、基準年度の値・目標の水準・データ源の3点です。</w:t>
      </w:r>
    </w:p>
    <w:p>
      <w:pPr>
        <w:pStyle w:val="Heading2"/>
        <w:keepNext/>
        <w:spacing w:before="180" w:after="100"/>
      </w:pPr>
      <w:bookmarkStart w:id="113" w:name="_Toc_013"/>
      <w:r>
        <w:rPr>
          <w:rFonts w:ascii="游ゴシック" w:hAnsi="游ゴシック" w:eastAsia="游ゴシック"/>
          <w:b/>
          <w:i w:val="0"/>
          <w:color w:val="2E74B5"/>
          <w:sz w:val="25"/>
        </w:rPr>
        <w:t>4-1　成果目標（8分野）</w:t>
      </w:r>
      <w:bookmarkEnd w:id="113"/>
    </w:p>
    <w:p>
      <w:pPr>
        <w:keepNext/>
        <w:spacing w:before="200" w:after="40"/>
      </w:pPr>
      <w:r>
        <w:rPr>
          <w:rFonts w:ascii="游ゴシック" w:hAnsi="游ゴシック" w:eastAsia="游ゴシック"/>
          <w:b/>
          <w:i w:val="0"/>
          <w:color w:val="1F4D78"/>
          <w:sz w:val="22"/>
        </w:rPr>
        <w:t>【表7】障がい計画　成果目標の仕様</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2835"/>
        <w:gridCol w:w="2835"/>
        <w:gridCol w:w="1474"/>
        <w:gridCol w:w="907"/>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国が示していること</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町が決めること</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データ源</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毎年度</w:t>
            </w:r>
          </w:p>
        </w:tc>
      </w:tr>
      <w:tr>
        <w:tc>
          <w:tcPr>
            <w:tcW w:type="dxa" w:w="1701"/>
            <w:vAlign w:val="center"/>
          </w:tcPr>
          <w:p>
            <w:pPr>
              <w:spacing w:before="20" w:after="20"/>
            </w:pPr>
            <w:r>
              <w:rPr>
                <w:rFonts w:ascii="游ゴシック" w:hAnsi="游ゴシック" w:eastAsia="游ゴシック"/>
                <w:b w:val="0"/>
                <w:i w:val="0"/>
                <w:sz w:val="17"/>
              </w:rPr>
              <w:t>① 施設入所者の地域生活移行</w:t>
            </w:r>
          </w:p>
        </w:tc>
        <w:tc>
          <w:tcPr>
            <w:tcW w:type="dxa" w:w="2835"/>
            <w:vAlign w:val="center"/>
          </w:tcPr>
          <w:p>
            <w:pPr>
              <w:spacing w:before="20" w:after="20"/>
            </w:pPr>
            <w:r>
              <w:rPr>
                <w:rFonts w:ascii="游ゴシック" w:hAnsi="游ゴシック" w:eastAsia="游ゴシック"/>
                <w:b w:val="0"/>
                <w:i w:val="0"/>
                <w:sz w:val="17"/>
              </w:rPr>
              <w:t>基準年度末の施設入所者数に対する移行者数と削減数の割合</w:t>
            </w:r>
          </w:p>
        </w:tc>
        <w:tc>
          <w:tcPr>
            <w:tcW w:type="dxa" w:w="2835"/>
            <w:vAlign w:val="center"/>
          </w:tcPr>
          <w:p>
            <w:pPr>
              <w:spacing w:before="20" w:after="20"/>
            </w:pPr>
            <w:r>
              <w:rPr>
                <w:rFonts w:ascii="游ゴシック" w:hAnsi="游ゴシック" w:eastAsia="游ゴシック"/>
                <w:b/>
                <w:i w:val="0"/>
                <w:sz w:val="17"/>
              </w:rPr>
              <w:t>基準となる令和7年度末の施設入所者数</w:t>
            </w:r>
          </w:p>
        </w:tc>
        <w:tc>
          <w:tcPr>
            <w:tcW w:type="dxa" w:w="1474"/>
            <w:vAlign w:val="center"/>
          </w:tcPr>
          <w:p>
            <w:pPr>
              <w:spacing w:before="20" w:after="20"/>
            </w:pPr>
            <w:r>
              <w:rPr>
                <w:rFonts w:ascii="游ゴシック" w:hAnsi="游ゴシック" w:eastAsia="游ゴシック"/>
                <w:b w:val="0"/>
                <w:i w:val="0"/>
                <w:sz w:val="17"/>
              </w:rPr>
              <w:t>町実績（支給決定）</w:t>
            </w:r>
          </w:p>
        </w:tc>
        <w:tc>
          <w:tcPr>
            <w:tcW w:type="dxa" w:w="907"/>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② 精神障害にも対応した地域包括ケア</w:t>
            </w:r>
          </w:p>
        </w:tc>
        <w:tc>
          <w:tcPr>
            <w:tcW w:type="dxa" w:w="2835"/>
            <w:vAlign w:val="center"/>
          </w:tcPr>
          <w:p>
            <w:pPr>
              <w:spacing w:before="20" w:after="20"/>
            </w:pPr>
            <w:r>
              <w:rPr>
                <w:rFonts w:ascii="游ゴシック" w:hAnsi="游ゴシック" w:eastAsia="游ゴシック"/>
                <w:b w:val="0"/>
                <w:i w:val="0"/>
                <w:sz w:val="17"/>
              </w:rPr>
              <w:t>退院後1年以内の地域における平均生活日数ほか</w:t>
            </w:r>
          </w:p>
        </w:tc>
        <w:tc>
          <w:tcPr>
            <w:tcW w:type="dxa" w:w="2835"/>
            <w:vAlign w:val="center"/>
          </w:tcPr>
          <w:p>
            <w:pPr>
              <w:spacing w:before="20" w:after="20"/>
            </w:pPr>
            <w:r>
              <w:rPr>
                <w:rFonts w:ascii="游ゴシック" w:hAnsi="游ゴシック" w:eastAsia="游ゴシック"/>
                <w:b/>
                <w:i w:val="0"/>
                <w:sz w:val="17"/>
              </w:rPr>
              <w:t>第7期は設定なし。新たに置くかどうか。県・保健所との連携が前提</w:t>
            </w:r>
          </w:p>
        </w:tc>
        <w:tc>
          <w:tcPr>
            <w:tcW w:type="dxa" w:w="1474"/>
            <w:vAlign w:val="center"/>
          </w:tcPr>
          <w:p>
            <w:pPr>
              <w:spacing w:before="20" w:after="20"/>
            </w:pPr>
            <w:r>
              <w:rPr>
                <w:rFonts w:ascii="游ゴシック" w:hAnsi="游ゴシック" w:eastAsia="游ゴシック"/>
                <w:b w:val="0"/>
                <w:i w:val="0"/>
                <w:sz w:val="17"/>
              </w:rPr>
              <w:t>県・保健所</w:t>
            </w:r>
          </w:p>
        </w:tc>
        <w:tc>
          <w:tcPr>
            <w:tcW w:type="dxa" w:w="907"/>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③ 地域生活支援の充実</w:t>
            </w:r>
          </w:p>
        </w:tc>
        <w:tc>
          <w:tcPr>
            <w:tcW w:type="dxa" w:w="2835"/>
            <w:vAlign w:val="center"/>
          </w:tcPr>
          <w:p>
            <w:pPr>
              <w:spacing w:before="20" w:after="20"/>
            </w:pPr>
            <w:r>
              <w:rPr>
                <w:rFonts w:ascii="游ゴシック" w:hAnsi="游ゴシック" w:eastAsia="游ゴシック"/>
                <w:b w:val="0"/>
                <w:i w:val="0"/>
                <w:sz w:val="17"/>
              </w:rPr>
              <w:t>地域生活支援拠点等の整備と5つの機能の充実、強度行動障がい者の支援体制の整備</w:t>
            </w:r>
          </w:p>
        </w:tc>
        <w:tc>
          <w:tcPr>
            <w:tcW w:type="dxa" w:w="2835"/>
            <w:vAlign w:val="center"/>
          </w:tcPr>
          <w:p>
            <w:pPr>
              <w:spacing w:before="20" w:after="20"/>
            </w:pPr>
            <w:r>
              <w:rPr>
                <w:rFonts w:ascii="游ゴシック" w:hAnsi="游ゴシック" w:eastAsia="游ゴシック"/>
                <w:b/>
                <w:i w:val="0"/>
                <w:sz w:val="17"/>
              </w:rPr>
              <w:t>5機能ごとの運用状況の測り方</w:t>
            </w:r>
            <w:r>
              <w:rPr>
                <w:rFonts w:ascii="游ゴシック" w:hAnsi="游ゴシック" w:eastAsia="游ゴシック"/>
                <w:b w:val="0"/>
                <w:i w:val="0"/>
                <w:sz w:val="17"/>
              </w:rPr>
              <w:t>（相談・緊急時受入・体験・専門人材・地域体制）</w:t>
            </w:r>
          </w:p>
        </w:tc>
        <w:tc>
          <w:tcPr>
            <w:tcW w:type="dxa" w:w="1474"/>
            <w:vAlign w:val="center"/>
          </w:tcPr>
          <w:p>
            <w:pPr>
              <w:spacing w:before="20" w:after="20"/>
            </w:pPr>
            <w:r>
              <w:rPr>
                <w:rFonts w:ascii="游ゴシック" w:hAnsi="游ゴシック" w:eastAsia="游ゴシック"/>
                <w:b w:val="0"/>
                <w:i w:val="0"/>
                <w:sz w:val="17"/>
              </w:rPr>
              <w:t>町実績</w:t>
            </w:r>
          </w:p>
        </w:tc>
        <w:tc>
          <w:tcPr>
            <w:tcW w:type="dxa" w:w="907"/>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④ 福祉施設から一般就労への移行等</w:t>
            </w:r>
          </w:p>
        </w:tc>
        <w:tc>
          <w:tcPr>
            <w:tcW w:type="dxa" w:w="2835"/>
            <w:vAlign w:val="center"/>
          </w:tcPr>
          <w:p>
            <w:pPr>
              <w:spacing w:before="20" w:after="20"/>
            </w:pPr>
            <w:r>
              <w:rPr>
                <w:rFonts w:ascii="游ゴシック" w:hAnsi="游ゴシック" w:eastAsia="游ゴシック"/>
                <w:b w:val="0"/>
                <w:i w:val="0"/>
                <w:sz w:val="17"/>
              </w:rPr>
              <w:t>一般就労移行者数、就労定着支援の利用者数、就労選択支援</w:t>
            </w:r>
          </w:p>
        </w:tc>
        <w:tc>
          <w:tcPr>
            <w:tcW w:type="dxa" w:w="2835"/>
            <w:vAlign w:val="center"/>
          </w:tcPr>
          <w:p>
            <w:pPr>
              <w:spacing w:before="20" w:after="20"/>
            </w:pPr>
            <w:r>
              <w:rPr>
                <w:rFonts w:ascii="游ゴシック" w:hAnsi="游ゴシック" w:eastAsia="游ゴシック"/>
                <w:b/>
                <w:i w:val="0"/>
                <w:sz w:val="17"/>
              </w:rPr>
              <w:t>令和6年度の一般就労移行者数（町へ照会中）</w:t>
            </w:r>
            <w:r>
              <w:rPr>
                <w:rFonts w:ascii="游ゴシック" w:hAnsi="游ゴシック" w:eastAsia="游ゴシック"/>
                <w:b w:val="0"/>
                <w:i w:val="0"/>
                <w:sz w:val="17"/>
              </w:rPr>
              <w:t>。就労選択支援は圏域単位が国の目標であり、町は利用機会の確保を指標化</w:t>
            </w:r>
          </w:p>
        </w:tc>
        <w:tc>
          <w:tcPr>
            <w:tcW w:type="dxa" w:w="1474"/>
            <w:vAlign w:val="center"/>
          </w:tcPr>
          <w:p>
            <w:pPr>
              <w:spacing w:before="20" w:after="20"/>
            </w:pPr>
            <w:r>
              <w:rPr>
                <w:rFonts w:ascii="游ゴシック" w:hAnsi="游ゴシック" w:eastAsia="游ゴシック"/>
                <w:b w:val="0"/>
                <w:i w:val="0"/>
                <w:sz w:val="17"/>
              </w:rPr>
              <w:t>町実績</w:t>
            </w:r>
          </w:p>
        </w:tc>
        <w:tc>
          <w:tcPr>
            <w:tcW w:type="dxa" w:w="907"/>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⑤ 相談支援体制の充実・強化等</w:t>
            </w:r>
          </w:p>
        </w:tc>
        <w:tc>
          <w:tcPr>
            <w:tcW w:type="dxa" w:w="2835"/>
            <w:vAlign w:val="center"/>
          </w:tcPr>
          <w:p>
            <w:pPr>
              <w:spacing w:before="20" w:after="20"/>
            </w:pPr>
            <w:r>
              <w:rPr>
                <w:rFonts w:ascii="游ゴシック" w:hAnsi="游ゴシック" w:eastAsia="游ゴシック"/>
                <w:b w:val="0"/>
                <w:i w:val="0"/>
                <w:sz w:val="17"/>
              </w:rPr>
              <w:t>基幹相談支援センターの設置と機能、</w:t>
            </w:r>
            <w:r>
              <w:rPr>
                <w:rFonts w:ascii="游ゴシック" w:hAnsi="游ゴシック" w:eastAsia="游ゴシック"/>
                <w:b/>
                <w:i w:val="0"/>
                <w:sz w:val="17"/>
              </w:rPr>
              <w:t>望まないセルフプランを令和11年度末までにゼロ</w:t>
            </w:r>
          </w:p>
        </w:tc>
        <w:tc>
          <w:tcPr>
            <w:tcW w:type="dxa" w:w="2835"/>
            <w:vAlign w:val="center"/>
          </w:tcPr>
          <w:p>
            <w:pPr>
              <w:spacing w:before="20" w:after="20"/>
            </w:pPr>
            <w:r>
              <w:rPr>
                <w:rFonts w:ascii="游ゴシック" w:hAnsi="游ゴシック" w:eastAsia="游ゴシック"/>
                <w:b/>
                <w:i w:val="0"/>
                <w:sz w:val="17"/>
              </w:rPr>
              <w:t>のぞまないセルフプランの現状件数（町へ照会中）</w:t>
            </w:r>
          </w:p>
        </w:tc>
        <w:tc>
          <w:tcPr>
            <w:tcW w:type="dxa" w:w="1474"/>
            <w:vAlign w:val="center"/>
          </w:tcPr>
          <w:p>
            <w:pPr>
              <w:spacing w:before="20" w:after="20"/>
            </w:pPr>
            <w:r>
              <w:rPr>
                <w:rFonts w:ascii="游ゴシック" w:hAnsi="游ゴシック" w:eastAsia="游ゴシック"/>
                <w:b w:val="0"/>
                <w:i w:val="0"/>
                <w:sz w:val="17"/>
              </w:rPr>
              <w:t>町実績</w:t>
            </w:r>
          </w:p>
        </w:tc>
        <w:tc>
          <w:tcPr>
            <w:tcW w:type="dxa" w:w="907"/>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⑥ 障害福祉サービス等の質の向上</w:t>
            </w:r>
          </w:p>
        </w:tc>
        <w:tc>
          <w:tcPr>
            <w:tcW w:type="dxa" w:w="2835"/>
            <w:vAlign w:val="center"/>
          </w:tcPr>
          <w:p>
            <w:pPr>
              <w:spacing w:before="20" w:after="20"/>
            </w:pPr>
            <w:r>
              <w:rPr>
                <w:rFonts w:ascii="游ゴシック" w:hAnsi="游ゴシック" w:eastAsia="游ゴシック"/>
                <w:b/>
                <w:i w:val="0"/>
                <w:sz w:val="17"/>
              </w:rPr>
              <w:t>情報公表制度の公表率・更新率100％</w:t>
            </w:r>
            <w:r>
              <w:rPr>
                <w:rFonts w:ascii="游ゴシック" w:hAnsi="游ゴシック" w:eastAsia="游ゴシック"/>
                <w:b w:val="0"/>
                <w:i w:val="0"/>
                <w:sz w:val="17"/>
              </w:rPr>
              <w:t>、県研修への参加</w:t>
            </w:r>
          </w:p>
        </w:tc>
        <w:tc>
          <w:tcPr>
            <w:tcW w:type="dxa" w:w="2835"/>
            <w:vAlign w:val="center"/>
          </w:tcPr>
          <w:p>
            <w:pPr>
              <w:spacing w:before="20" w:after="20"/>
            </w:pPr>
            <w:r>
              <w:rPr>
                <w:rFonts w:ascii="游ゴシック" w:hAnsi="游ゴシック" w:eastAsia="游ゴシック"/>
                <w:b w:val="0"/>
                <w:i w:val="0"/>
                <w:sz w:val="17"/>
              </w:rPr>
              <w:t>町内対象事業所の範囲（町外事業所を含むか）</w:t>
            </w:r>
          </w:p>
        </w:tc>
        <w:tc>
          <w:tcPr>
            <w:tcW w:type="dxa" w:w="1474"/>
            <w:vAlign w:val="center"/>
          </w:tcPr>
          <w:p>
            <w:pPr>
              <w:spacing w:before="20" w:after="20"/>
            </w:pPr>
            <w:r>
              <w:rPr>
                <w:rFonts w:ascii="游ゴシック" w:hAnsi="游ゴシック" w:eastAsia="游ゴシック"/>
                <w:b w:val="0"/>
                <w:i w:val="0"/>
                <w:sz w:val="17"/>
              </w:rPr>
              <w:t>情報公表システム</w:t>
            </w:r>
          </w:p>
        </w:tc>
        <w:tc>
          <w:tcPr>
            <w:tcW w:type="dxa" w:w="907"/>
            <w:vAlign w:val="center"/>
          </w:tcPr>
          <w:p>
            <w:pPr>
              <w:spacing w:before="20" w:after="20"/>
            </w:pPr>
            <w:r>
              <w:rPr>
                <w:rFonts w:ascii="游ゴシック" w:hAnsi="游ゴシック" w:eastAsia="游ゴシック"/>
                <w:b w:val="0"/>
                <w:i w:val="0"/>
                <w:sz w:val="17"/>
              </w:rPr>
              <w:t>○</w:t>
            </w:r>
          </w:p>
        </w:tc>
      </w:tr>
      <w:tr>
        <w:tc>
          <w:tcPr>
            <w:tcW w:type="dxa" w:w="1701"/>
            <w:vAlign w:val="center"/>
          </w:tcPr>
          <w:p>
            <w:pPr>
              <w:keepNext/>
              <w:spacing w:before="20" w:after="20"/>
            </w:pPr>
            <w:r>
              <w:rPr>
                <w:rFonts w:ascii="游ゴシック" w:hAnsi="游ゴシック" w:eastAsia="游ゴシック"/>
                <w:b w:val="0"/>
                <w:i w:val="0"/>
                <w:sz w:val="17"/>
              </w:rPr>
              <w:t>⑦ 障害福祉人材の確保・定着、生産性向上</w:t>
            </w:r>
          </w:p>
        </w:tc>
        <w:tc>
          <w:tcPr>
            <w:tcW w:type="dxa" w:w="2835"/>
            <w:vAlign w:val="center"/>
          </w:tcPr>
          <w:p>
            <w:pPr>
              <w:keepNext/>
              <w:spacing w:before="20" w:after="20"/>
            </w:pPr>
            <w:r>
              <w:rPr>
                <w:rFonts w:ascii="游ゴシック" w:hAnsi="游ゴシック" w:eastAsia="游ゴシック"/>
                <w:b/>
                <w:i w:val="0"/>
                <w:sz w:val="17"/>
              </w:rPr>
              <w:t>国は都道府県</w:t>
            </w:r>
            <w:r>
              <w:rPr>
                <w:rFonts w:ascii="游ゴシック" w:hAnsi="游ゴシック" w:eastAsia="游ゴシック"/>
                <w:b w:val="0"/>
                <w:i w:val="0"/>
                <w:sz w:val="17"/>
              </w:rPr>
              <w:t>にワンストップ窓口・連携協議会を求める</w:t>
            </w:r>
          </w:p>
        </w:tc>
        <w:tc>
          <w:tcPr>
            <w:tcW w:type="dxa" w:w="2835"/>
            <w:vAlign w:val="center"/>
          </w:tcPr>
          <w:p>
            <w:pPr>
              <w:keepNext/>
              <w:spacing w:before="20" w:after="20"/>
            </w:pPr>
            <w:r>
              <w:rPr>
                <w:rFonts w:ascii="游ゴシック" w:hAnsi="游ゴシック" w:eastAsia="游ゴシック"/>
                <w:b/>
                <w:i w:val="0"/>
                <w:sz w:val="17"/>
              </w:rPr>
              <w:t>町としての取組（県の協議会への参画等）。市町村計画の記載事項ではない点に注意</w:t>
            </w:r>
          </w:p>
        </w:tc>
        <w:tc>
          <w:tcPr>
            <w:tcW w:type="dxa" w:w="1474"/>
            <w:vAlign w:val="center"/>
          </w:tcPr>
          <w:p>
            <w:pPr>
              <w:keepNext/>
              <w:spacing w:before="20" w:after="20"/>
            </w:pPr>
            <w:r>
              <w:rPr>
                <w:rFonts w:ascii="游ゴシック" w:hAnsi="游ゴシック" w:eastAsia="游ゴシック"/>
                <w:b w:val="0"/>
                <w:i w:val="0"/>
                <w:sz w:val="17"/>
              </w:rPr>
              <w:t>事実確認</w:t>
            </w:r>
          </w:p>
        </w:tc>
        <w:tc>
          <w:tcPr>
            <w:tcW w:type="dxa" w:w="907"/>
            <w:vAlign w:val="center"/>
          </w:tcPr>
          <w:p>
            <w:pPr>
              <w:keepNext/>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⑧ 障害児支援の提供体制の整備等</w:t>
            </w:r>
          </w:p>
        </w:tc>
        <w:tc>
          <w:tcPr>
            <w:tcW w:type="dxa" w:w="2835"/>
            <w:vAlign w:val="center"/>
          </w:tcPr>
          <w:p>
            <w:pPr>
              <w:spacing w:before="20" w:after="20"/>
            </w:pPr>
            <w:r>
              <w:rPr>
                <w:rFonts w:ascii="游ゴシック" w:hAnsi="游ゴシック" w:eastAsia="游ゴシック"/>
                <w:b w:val="0"/>
                <w:i w:val="0"/>
                <w:sz w:val="17"/>
              </w:rPr>
              <w:t>児童発達支援センター、保育所等訪問支援、重症心身障がい児対応事業所、医療的ケア児等コーディネーター、</w:t>
            </w:r>
            <w:r>
              <w:rPr>
                <w:rFonts w:ascii="游ゴシック" w:hAnsi="游ゴシック" w:eastAsia="游ゴシック"/>
                <w:b/>
                <w:i w:val="0"/>
                <w:sz w:val="17"/>
              </w:rPr>
              <w:t>インクルージョン推進の協議の場</w:t>
            </w:r>
          </w:p>
        </w:tc>
        <w:tc>
          <w:tcPr>
            <w:tcW w:type="dxa" w:w="2835"/>
            <w:vAlign w:val="center"/>
          </w:tcPr>
          <w:p>
            <w:pPr>
              <w:spacing w:before="20" w:after="20"/>
            </w:pPr>
            <w:r>
              <w:rPr>
                <w:rFonts w:ascii="游ゴシック" w:hAnsi="游ゴシック" w:eastAsia="游ゴシック"/>
                <w:b w:val="0"/>
                <w:i w:val="0"/>
                <w:sz w:val="17"/>
              </w:rPr>
              <w:t>整備途上の項目の進捗の測り方</w:t>
            </w:r>
          </w:p>
        </w:tc>
        <w:tc>
          <w:tcPr>
            <w:tcW w:type="dxa" w:w="1474"/>
            <w:vAlign w:val="center"/>
          </w:tcPr>
          <w:p>
            <w:pPr>
              <w:spacing w:before="20" w:after="20"/>
            </w:pPr>
            <w:r>
              <w:rPr>
                <w:rFonts w:ascii="游ゴシック" w:hAnsi="游ゴシック" w:eastAsia="游ゴシック"/>
                <w:b w:val="0"/>
                <w:i w:val="0"/>
                <w:sz w:val="17"/>
              </w:rPr>
              <w:t>町実績</w:t>
            </w:r>
          </w:p>
        </w:tc>
        <w:tc>
          <w:tcPr>
            <w:tcW w:type="dxa" w:w="907"/>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毎年度の欄が△のものは、国の目標が計画期間の最終年度（令和11年度末）に置かれているものです。</w:t>
      </w:r>
      <w:r>
        <w:rPr>
          <w:rFonts w:ascii="游ゴシック" w:hAnsi="游ゴシック" w:eastAsia="游ゴシック"/>
          <w:b w:val="0"/>
          <w:i w:val="0"/>
          <w:sz w:val="21"/>
        </w:rPr>
        <w:t xml:space="preserve"> 各年度の途中の値を測る意味が薄いため、</w:t>
      </w:r>
      <w:r>
        <w:rPr>
          <w:rFonts w:ascii="游ゴシック" w:hAnsi="游ゴシック" w:eastAsia="游ゴシック"/>
          <w:b/>
          <w:i w:val="0"/>
          <w:sz w:val="21"/>
        </w:rPr>
        <w:t>年次評価では「進捗の段階」を記録します</w:t>
      </w:r>
      <w:r>
        <w:rPr>
          <w:rFonts w:ascii="游ゴシック" w:hAnsi="游ゴシック" w:eastAsia="游ゴシック"/>
          <w:b w:val="0"/>
          <w:i w:val="0"/>
          <w:sz w:val="21"/>
        </w:rPr>
        <w:t>（例：4町村の合意→設置方式の決定→運営主体の決定→設置）。</w:t>
      </w:r>
    </w:p>
    <w:p>
      <w:pPr>
        <w:pStyle w:val="Heading2"/>
        <w:keepNext/>
        <w:spacing w:before="180" w:after="100"/>
      </w:pPr>
      <w:bookmarkStart w:id="114" w:name="_Toc_014"/>
      <w:r>
        <w:rPr>
          <w:rFonts w:ascii="游ゴシック" w:hAnsi="游ゴシック" w:eastAsia="游ゴシック"/>
          <w:b/>
          <w:i w:val="0"/>
          <w:color w:val="2E74B5"/>
          <w:sz w:val="25"/>
        </w:rPr>
        <w:t>4-2　活動指標（6区分）</w:t>
      </w:r>
      <w:bookmarkEnd w:id="114"/>
    </w:p>
    <w:p>
      <w:pPr>
        <w:keepNext/>
        <w:spacing w:before="200" w:after="40"/>
      </w:pPr>
      <w:r>
        <w:rPr>
          <w:rFonts w:ascii="游ゴシック" w:hAnsi="游ゴシック" w:eastAsia="游ゴシック"/>
          <w:b/>
          <w:i w:val="0"/>
          <w:color w:val="1F4D78"/>
          <w:sz w:val="22"/>
        </w:rPr>
        <w:t>【表8】障がい計画　活動指標の仕様</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2608"/>
        <w:gridCol w:w="1587"/>
        <w:gridCol w:w="794"/>
        <w:gridCol w:w="3288"/>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算式</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データ源</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毎年度</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決めること</w:t>
            </w:r>
          </w:p>
        </w:tc>
      </w:tr>
      <w:tr>
        <w:tc>
          <w:tcPr>
            <w:tcW w:type="dxa" w:w="1474"/>
            <w:vAlign w:val="center"/>
          </w:tcPr>
          <w:p>
            <w:pPr>
              <w:spacing w:before="20" w:after="20"/>
            </w:pPr>
            <w:r>
              <w:rPr>
                <w:rFonts w:ascii="游ゴシック" w:hAnsi="游ゴシック" w:eastAsia="游ゴシック"/>
                <w:b w:val="0"/>
                <w:i w:val="0"/>
                <w:sz w:val="17"/>
              </w:rPr>
              <w:t>1 訪問系</w:t>
            </w:r>
          </w:p>
        </w:tc>
        <w:tc>
          <w:tcPr>
            <w:tcW w:type="dxa" w:w="2608"/>
            <w:vAlign w:val="center"/>
          </w:tcPr>
          <w:p>
            <w:pPr>
              <w:spacing w:before="20" w:after="20"/>
            </w:pPr>
            <w:r>
              <w:rPr>
                <w:rFonts w:ascii="游ゴシック" w:hAnsi="游ゴシック" w:eastAsia="游ゴシック"/>
                <w:b w:val="0"/>
                <w:i w:val="0"/>
                <w:sz w:val="17"/>
              </w:rPr>
              <w:t>利用者数（人／月）・利用時間（時間／月）</w:t>
            </w:r>
          </w:p>
        </w:tc>
        <w:tc>
          <w:tcPr>
            <w:tcW w:type="dxa" w:w="1587"/>
            <w:vAlign w:val="center"/>
          </w:tcPr>
          <w:p>
            <w:pPr>
              <w:spacing w:before="20" w:after="20"/>
            </w:pPr>
            <w:r>
              <w:rPr>
                <w:rFonts w:ascii="游ゴシック" w:hAnsi="游ゴシック" w:eastAsia="游ゴシック"/>
                <w:b w:val="0"/>
                <w:i w:val="0"/>
                <w:sz w:val="17"/>
              </w:rPr>
              <w:t>国保連（給付実績）</w:t>
            </w:r>
          </w:p>
        </w:tc>
        <w:tc>
          <w:tcPr>
            <w:tcW w:type="dxa" w:w="794"/>
            <w:vAlign w:val="center"/>
          </w:tcPr>
          <w:p>
            <w:pPr>
              <w:spacing w:before="20" w:after="20"/>
            </w:pPr>
            <w:r>
              <w:rPr>
                <w:rFonts w:ascii="游ゴシック" w:hAnsi="游ゴシック" w:eastAsia="游ゴシック"/>
                <w:b w:val="0"/>
                <w:i w:val="0"/>
                <w:sz w:val="17"/>
              </w:rPr>
              <w:t>○</w:t>
            </w:r>
          </w:p>
        </w:tc>
        <w:tc>
          <w:tcPr>
            <w:tcW w:type="dxa" w:w="3288"/>
            <w:vAlign w:val="center"/>
          </w:tcPr>
          <w:p>
            <w:pPr>
              <w:spacing w:before="20" w:after="20"/>
            </w:pPr>
            <w:r>
              <w:rPr>
                <w:rFonts w:ascii="游ゴシック" w:hAnsi="游ゴシック" w:eastAsia="游ゴシック"/>
                <w:b/>
                <w:i w:val="0"/>
                <w:sz w:val="17"/>
              </w:rPr>
              <w:t>実績0でも候補者の有無を確かめ、0と見込む根拠を記録する。介護保険へ移る分を二重に数えない</w:t>
            </w:r>
          </w:p>
        </w:tc>
      </w:tr>
      <w:tr>
        <w:tc>
          <w:tcPr>
            <w:tcW w:type="dxa" w:w="1474"/>
            <w:vAlign w:val="center"/>
          </w:tcPr>
          <w:p>
            <w:pPr>
              <w:spacing w:before="20" w:after="20"/>
            </w:pPr>
            <w:r>
              <w:rPr>
                <w:rFonts w:ascii="游ゴシック" w:hAnsi="游ゴシック" w:eastAsia="游ゴシック"/>
                <w:b w:val="0"/>
                <w:i w:val="0"/>
                <w:sz w:val="17"/>
              </w:rPr>
              <w:t>2 日中活動系</w:t>
            </w:r>
          </w:p>
        </w:tc>
        <w:tc>
          <w:tcPr>
            <w:tcW w:type="dxa" w:w="2608"/>
            <w:vAlign w:val="center"/>
          </w:tcPr>
          <w:p>
            <w:pPr>
              <w:spacing w:before="20" w:after="20"/>
            </w:pPr>
            <w:r>
              <w:rPr>
                <w:rFonts w:ascii="游ゴシック" w:hAnsi="游ゴシック" w:eastAsia="游ゴシック"/>
                <w:b w:val="0"/>
                <w:i w:val="0"/>
                <w:sz w:val="17"/>
              </w:rPr>
              <w:t>利用者数（人／月）・利用量（人日／月）</w:t>
            </w:r>
          </w:p>
        </w:tc>
        <w:tc>
          <w:tcPr>
            <w:tcW w:type="dxa" w:w="1587"/>
            <w:vAlign w:val="center"/>
          </w:tcPr>
          <w:p>
            <w:pPr>
              <w:spacing w:before="20" w:after="20"/>
            </w:pPr>
            <w:r>
              <w:rPr>
                <w:rFonts w:ascii="游ゴシック" w:hAnsi="游ゴシック" w:eastAsia="游ゴシック"/>
                <w:b w:val="0"/>
                <w:i w:val="0"/>
                <w:sz w:val="17"/>
              </w:rPr>
              <w:t>国保連</w:t>
            </w:r>
          </w:p>
        </w:tc>
        <w:tc>
          <w:tcPr>
            <w:tcW w:type="dxa" w:w="794"/>
            <w:vAlign w:val="center"/>
          </w:tcPr>
          <w:p>
            <w:pPr>
              <w:spacing w:before="20" w:after="20"/>
            </w:pPr>
            <w:r>
              <w:rPr>
                <w:rFonts w:ascii="游ゴシック" w:hAnsi="游ゴシック" w:eastAsia="游ゴシック"/>
                <w:b w:val="0"/>
                <w:i w:val="0"/>
                <w:sz w:val="17"/>
              </w:rPr>
              <w:t>○</w:t>
            </w:r>
          </w:p>
        </w:tc>
        <w:tc>
          <w:tcPr>
            <w:tcW w:type="dxa" w:w="3288"/>
            <w:vAlign w:val="center"/>
          </w:tcPr>
          <w:p>
            <w:pPr>
              <w:spacing w:before="20" w:after="20"/>
            </w:pPr>
            <w:r>
              <w:rPr>
                <w:rFonts w:ascii="游ゴシック" w:hAnsi="游ゴシック" w:eastAsia="游ゴシック"/>
                <w:b w:val="0"/>
                <w:i w:val="0"/>
                <w:sz w:val="17"/>
              </w:rPr>
              <w:t>18歳移行は個別に積み上げる。就労選択支援は令和7年10月創設で実績が短い</w:t>
            </w:r>
          </w:p>
        </w:tc>
      </w:tr>
      <w:tr>
        <w:tc>
          <w:tcPr>
            <w:tcW w:type="dxa" w:w="1474"/>
            <w:vAlign w:val="center"/>
          </w:tcPr>
          <w:p>
            <w:pPr>
              <w:spacing w:before="20" w:after="20"/>
            </w:pPr>
            <w:r>
              <w:rPr>
                <w:rFonts w:ascii="游ゴシック" w:hAnsi="游ゴシック" w:eastAsia="游ゴシック"/>
                <w:b w:val="0"/>
                <w:i w:val="0"/>
                <w:sz w:val="17"/>
              </w:rPr>
              <w:t>3 居住系</w:t>
            </w:r>
          </w:p>
        </w:tc>
        <w:tc>
          <w:tcPr>
            <w:tcW w:type="dxa" w:w="2608"/>
            <w:vAlign w:val="center"/>
          </w:tcPr>
          <w:p>
            <w:pPr>
              <w:spacing w:before="20" w:after="20"/>
            </w:pPr>
            <w:r>
              <w:rPr>
                <w:rFonts w:ascii="游ゴシック" w:hAnsi="游ゴシック" w:eastAsia="游ゴシック"/>
                <w:b w:val="0"/>
                <w:i w:val="0"/>
                <w:sz w:val="17"/>
              </w:rPr>
              <w:t>利用者数（人／月）</w:t>
            </w:r>
          </w:p>
        </w:tc>
        <w:tc>
          <w:tcPr>
            <w:tcW w:type="dxa" w:w="1587"/>
            <w:vAlign w:val="center"/>
          </w:tcPr>
          <w:p>
            <w:pPr>
              <w:spacing w:before="20" w:after="20"/>
            </w:pPr>
            <w:r>
              <w:rPr>
                <w:rFonts w:ascii="游ゴシック" w:hAnsi="游ゴシック" w:eastAsia="游ゴシック"/>
                <w:b w:val="0"/>
                <w:i w:val="0"/>
                <w:sz w:val="17"/>
              </w:rPr>
              <w:t>国保連</w:t>
            </w:r>
          </w:p>
        </w:tc>
        <w:tc>
          <w:tcPr>
            <w:tcW w:type="dxa" w:w="794"/>
            <w:vAlign w:val="center"/>
          </w:tcPr>
          <w:p>
            <w:pPr>
              <w:spacing w:before="20" w:after="20"/>
            </w:pPr>
            <w:r>
              <w:rPr>
                <w:rFonts w:ascii="游ゴシック" w:hAnsi="游ゴシック" w:eastAsia="游ゴシック"/>
                <w:b w:val="0"/>
                <w:i w:val="0"/>
                <w:sz w:val="17"/>
              </w:rPr>
              <w:t>○</w:t>
            </w:r>
          </w:p>
        </w:tc>
        <w:tc>
          <w:tcPr>
            <w:tcW w:type="dxa" w:w="3288"/>
            <w:vAlign w:val="center"/>
          </w:tcPr>
          <w:p>
            <w:pPr>
              <w:spacing w:before="20" w:after="20"/>
            </w:pPr>
            <w:r>
              <w:rPr>
                <w:rFonts w:ascii="游ゴシック" w:hAnsi="游ゴシック" w:eastAsia="游ゴシック"/>
                <w:b/>
                <w:i w:val="0"/>
                <w:sz w:val="17"/>
              </w:rPr>
              <w:t>成果目標①（施設入所者の地域生活移行）と数が整合すること</w:t>
            </w:r>
          </w:p>
        </w:tc>
      </w:tr>
      <w:tr>
        <w:tc>
          <w:tcPr>
            <w:tcW w:type="dxa" w:w="1474"/>
            <w:vAlign w:val="center"/>
          </w:tcPr>
          <w:p>
            <w:pPr>
              <w:spacing w:before="20" w:after="20"/>
            </w:pPr>
            <w:r>
              <w:rPr>
                <w:rFonts w:ascii="游ゴシック" w:hAnsi="游ゴシック" w:eastAsia="游ゴシック"/>
                <w:b w:val="0"/>
                <w:i w:val="0"/>
                <w:sz w:val="17"/>
              </w:rPr>
              <w:t>4 相談支援</w:t>
            </w:r>
          </w:p>
        </w:tc>
        <w:tc>
          <w:tcPr>
            <w:tcW w:type="dxa" w:w="2608"/>
            <w:vAlign w:val="center"/>
          </w:tcPr>
          <w:p>
            <w:pPr>
              <w:spacing w:before="20" w:after="20"/>
            </w:pPr>
            <w:r>
              <w:rPr>
                <w:rFonts w:ascii="游ゴシック" w:hAnsi="游ゴシック" w:eastAsia="游ゴシック"/>
                <w:b w:val="0"/>
                <w:i w:val="0"/>
                <w:sz w:val="17"/>
              </w:rPr>
              <w:t>利用者数（人／月）</w:t>
            </w:r>
          </w:p>
        </w:tc>
        <w:tc>
          <w:tcPr>
            <w:tcW w:type="dxa" w:w="1587"/>
            <w:vAlign w:val="center"/>
          </w:tcPr>
          <w:p>
            <w:pPr>
              <w:spacing w:before="20" w:after="20"/>
            </w:pPr>
            <w:r>
              <w:rPr>
                <w:rFonts w:ascii="游ゴシック" w:hAnsi="游ゴシック" w:eastAsia="游ゴシック"/>
                <w:b w:val="0"/>
                <w:i w:val="0"/>
                <w:sz w:val="17"/>
              </w:rPr>
              <w:t>国保連</w:t>
            </w:r>
          </w:p>
        </w:tc>
        <w:tc>
          <w:tcPr>
            <w:tcW w:type="dxa" w:w="794"/>
            <w:vAlign w:val="center"/>
          </w:tcPr>
          <w:p>
            <w:pPr>
              <w:spacing w:before="20" w:after="20"/>
            </w:pPr>
            <w:r>
              <w:rPr>
                <w:rFonts w:ascii="游ゴシック" w:hAnsi="游ゴシック" w:eastAsia="游ゴシック"/>
                <w:b w:val="0"/>
                <w:i w:val="0"/>
                <w:sz w:val="17"/>
              </w:rPr>
              <w:t>○</w:t>
            </w:r>
          </w:p>
        </w:tc>
        <w:tc>
          <w:tcPr>
            <w:tcW w:type="dxa" w:w="3288"/>
            <w:vAlign w:val="center"/>
          </w:tcPr>
          <w:p>
            <w:pPr>
              <w:spacing w:before="20" w:after="20"/>
            </w:pPr>
            <w:r>
              <w:rPr>
                <w:rFonts w:ascii="游ゴシック" w:hAnsi="游ゴシック" w:eastAsia="游ゴシック"/>
                <w:b/>
                <w:i w:val="0"/>
                <w:sz w:val="17"/>
              </w:rPr>
              <w:t>成果目標⑤（望まないセルフプランの解消）と整合すること。介護保険へ移った方は居宅介護支援へ移るため計画相談支援から減る</w:t>
            </w:r>
          </w:p>
        </w:tc>
      </w:tr>
      <w:tr>
        <w:tc>
          <w:tcPr>
            <w:tcW w:type="dxa" w:w="1474"/>
            <w:vAlign w:val="center"/>
          </w:tcPr>
          <w:p>
            <w:pPr>
              <w:keepNext/>
              <w:spacing w:before="20" w:after="20"/>
            </w:pPr>
            <w:r>
              <w:rPr>
                <w:rFonts w:ascii="游ゴシック" w:hAnsi="游ゴシック" w:eastAsia="游ゴシック"/>
                <w:b w:val="0"/>
                <w:i w:val="0"/>
                <w:sz w:val="17"/>
              </w:rPr>
              <w:t>5 障がい児支援</w:t>
            </w:r>
          </w:p>
        </w:tc>
        <w:tc>
          <w:tcPr>
            <w:tcW w:type="dxa" w:w="2608"/>
            <w:vAlign w:val="center"/>
          </w:tcPr>
          <w:p>
            <w:pPr>
              <w:keepNext/>
              <w:spacing w:before="20" w:after="20"/>
            </w:pPr>
            <w:r>
              <w:rPr>
                <w:rFonts w:ascii="游ゴシック" w:hAnsi="游ゴシック" w:eastAsia="游ゴシック"/>
                <w:b w:val="0"/>
                <w:i w:val="0"/>
                <w:sz w:val="17"/>
              </w:rPr>
              <w:t>利用者数（人／月）・利用量（人日／月）</w:t>
            </w:r>
          </w:p>
        </w:tc>
        <w:tc>
          <w:tcPr>
            <w:tcW w:type="dxa" w:w="1587"/>
            <w:vAlign w:val="center"/>
          </w:tcPr>
          <w:p>
            <w:pPr>
              <w:keepNext/>
              <w:spacing w:before="20" w:after="20"/>
            </w:pPr>
            <w:r>
              <w:rPr>
                <w:rFonts w:ascii="游ゴシック" w:hAnsi="游ゴシック" w:eastAsia="游ゴシック"/>
                <w:b w:val="0"/>
                <w:i w:val="0"/>
                <w:sz w:val="17"/>
              </w:rPr>
              <w:t>国保連</w:t>
            </w:r>
          </w:p>
        </w:tc>
        <w:tc>
          <w:tcPr>
            <w:tcW w:type="dxa" w:w="794"/>
            <w:vAlign w:val="center"/>
          </w:tcPr>
          <w:p>
            <w:pPr>
              <w:keepNext/>
              <w:spacing w:before="20" w:after="20"/>
            </w:pPr>
            <w:r>
              <w:rPr>
                <w:rFonts w:ascii="游ゴシック" w:hAnsi="游ゴシック" w:eastAsia="游ゴシック"/>
                <w:b w:val="0"/>
                <w:i w:val="0"/>
                <w:sz w:val="17"/>
              </w:rPr>
              <w:t>○</w:t>
            </w:r>
          </w:p>
        </w:tc>
        <w:tc>
          <w:tcPr>
            <w:tcW w:type="dxa" w:w="3288"/>
            <w:vAlign w:val="center"/>
          </w:tcPr>
          <w:p>
            <w:pPr>
              <w:keepNext/>
              <w:spacing w:before="20" w:after="20"/>
            </w:pPr>
            <w:r>
              <w:rPr>
                <w:rFonts w:ascii="游ゴシック" w:hAnsi="游ゴシック" w:eastAsia="游ゴシック"/>
                <w:b/>
                <w:i w:val="0"/>
                <w:sz w:val="17"/>
              </w:rPr>
              <w:t>町内に療育機関がなく町外通所である。</w:t>
            </w:r>
            <w:r>
              <w:rPr>
                <w:rFonts w:ascii="游ゴシック" w:hAnsi="游ゴシック" w:eastAsia="游ゴシック"/>
                <w:b w:val="0"/>
                <w:i w:val="0"/>
                <w:sz w:val="17"/>
              </w:rPr>
              <w:t>町外の事業所の利用を含めて数える</w:t>
            </w:r>
          </w:p>
        </w:tc>
      </w:tr>
      <w:tr>
        <w:tc>
          <w:tcPr>
            <w:tcW w:type="dxa" w:w="1474"/>
            <w:vAlign w:val="center"/>
          </w:tcPr>
          <w:p>
            <w:pPr>
              <w:spacing w:before="20" w:after="20"/>
            </w:pPr>
            <w:r>
              <w:rPr>
                <w:rFonts w:ascii="游ゴシック" w:hAnsi="游ゴシック" w:eastAsia="游ゴシック"/>
                <w:b w:val="0"/>
                <w:i w:val="0"/>
                <w:sz w:val="17"/>
              </w:rPr>
              <w:t>6 地域生活支援事業</w:t>
            </w:r>
          </w:p>
        </w:tc>
        <w:tc>
          <w:tcPr>
            <w:tcW w:type="dxa" w:w="2608"/>
            <w:vAlign w:val="center"/>
          </w:tcPr>
          <w:p>
            <w:pPr>
              <w:spacing w:before="20" w:after="20"/>
            </w:pPr>
            <w:r>
              <w:rPr>
                <w:rFonts w:ascii="游ゴシック" w:hAnsi="游ゴシック" w:eastAsia="游ゴシック"/>
                <w:b w:val="0"/>
                <w:i w:val="0"/>
                <w:sz w:val="17"/>
              </w:rPr>
              <w:t>実施の有無・実施回数・利用者数（事業ごと）</w:t>
            </w:r>
          </w:p>
        </w:tc>
        <w:tc>
          <w:tcPr>
            <w:tcW w:type="dxa" w:w="1587"/>
            <w:vAlign w:val="center"/>
          </w:tcPr>
          <w:p>
            <w:pPr>
              <w:spacing w:before="20" w:after="20"/>
            </w:pPr>
            <w:r>
              <w:rPr>
                <w:rFonts w:ascii="游ゴシック" w:hAnsi="游ゴシック" w:eastAsia="游ゴシック"/>
                <w:b w:val="0"/>
                <w:i w:val="0"/>
                <w:sz w:val="17"/>
              </w:rPr>
              <w:t>町実績</w:t>
            </w:r>
          </w:p>
        </w:tc>
        <w:tc>
          <w:tcPr>
            <w:tcW w:type="dxa" w:w="794"/>
            <w:vAlign w:val="center"/>
          </w:tcPr>
          <w:p>
            <w:pPr>
              <w:spacing w:before="20" w:after="20"/>
            </w:pPr>
            <w:r>
              <w:rPr>
                <w:rFonts w:ascii="游ゴシック" w:hAnsi="游ゴシック" w:eastAsia="游ゴシック"/>
                <w:b w:val="0"/>
                <w:i w:val="0"/>
                <w:sz w:val="17"/>
              </w:rPr>
              <w:t>○</w:t>
            </w:r>
          </w:p>
        </w:tc>
        <w:tc>
          <w:tcPr>
            <w:tcW w:type="dxa" w:w="3288"/>
            <w:vAlign w:val="center"/>
          </w:tcPr>
          <w:p>
            <w:pPr>
              <w:spacing w:before="20" w:after="20"/>
            </w:pPr>
            <w:r>
              <w:rPr>
                <w:rFonts w:ascii="游ゴシック" w:hAnsi="游ゴシック" w:eastAsia="游ゴシック"/>
                <w:b/>
                <w:i w:val="0"/>
                <w:sz w:val="17"/>
              </w:rPr>
              <w:t>必須事業と任意事業を分ける。</w:t>
            </w:r>
            <w:r>
              <w:rPr>
                <w:rFonts w:ascii="游ゴシック" w:hAnsi="游ゴシック" w:eastAsia="游ゴシック"/>
                <w:b w:val="0"/>
                <w:i w:val="0"/>
                <w:sz w:val="17"/>
              </w:rPr>
              <w:t>事業ごとに単位が違うため、事業ごとに算式を決める</w:t>
            </w:r>
          </w:p>
        </w:tc>
      </w:tr>
    </w:tbl>
    <w:p>
      <w:pPr>
        <w:spacing w:after="40"/>
      </w:pPr>
    </w:p>
    <w:p>
      <w:pPr>
        <w:spacing w:before="60" w:after="60"/>
      </w:pPr>
      <w:r>
        <w:rPr>
          <w:rFonts w:ascii="游ゴシック" w:hAnsi="游ゴシック" w:eastAsia="游ゴシック"/>
          <w:b/>
          <w:i w:val="0"/>
          <w:sz w:val="21"/>
        </w:rPr>
        <w:t>活動指標は給付実績から取れるため、毎年度測れます。</w:t>
      </w:r>
      <w:r>
        <w:rPr>
          <w:rFonts w:ascii="游ゴシック" w:hAnsi="游ゴシック" w:eastAsia="游ゴシック"/>
          <w:b w:val="0"/>
          <w:i w:val="0"/>
          <w:sz w:val="21"/>
        </w:rPr>
        <w:t xml:space="preserve"> 高齢者計画の指標と違い、調査に依存するものがありません。</w:t>
      </w:r>
    </w:p>
    <w:p>
      <w:pPr>
        <w:pStyle w:val="Heading2"/>
        <w:keepNext/>
        <w:spacing w:before="180" w:after="100"/>
      </w:pPr>
      <w:bookmarkStart w:id="115" w:name="_Toc_015"/>
      <w:r>
        <w:rPr>
          <w:rFonts w:ascii="游ゴシック" w:hAnsi="游ゴシック" w:eastAsia="游ゴシック"/>
          <w:b/>
          <w:i w:val="0"/>
          <w:color w:val="2E74B5"/>
          <w:sz w:val="25"/>
        </w:rPr>
        <w:t>4-3　障がい側で先に決めること</w:t>
      </w:r>
      <w:bookmarkEnd w:id="115"/>
    </w:p>
    <w:p>
      <w:pPr>
        <w:spacing w:before="60" w:after="60"/>
      </w:pPr>
      <w:r>
        <w:rPr>
          <w:rFonts w:ascii="游ゴシック" w:hAnsi="游ゴシック" w:eastAsia="游ゴシック"/>
          <w:b/>
          <w:i w:val="0"/>
          <w:sz w:val="21"/>
        </w:rPr>
        <w:t>骨子案の【データ待ち】13件は、指標そのものではなく指標を作るための元データです。</w:t>
      </w:r>
      <w:r>
        <w:rPr>
          <w:rFonts w:ascii="游ゴシック" w:hAnsi="游ゴシック" w:eastAsia="游ゴシック"/>
          <w:b w:val="0"/>
          <w:i w:val="0"/>
          <w:sz w:val="21"/>
        </w:rPr>
        <w:t xml:space="preserve"> 今期調査・ヒアリング・町の実績の受領を待つものであり、仕様の確定とは別の工程です。</w:t>
      </w:r>
    </w:p>
    <w:p>
      <w:pPr>
        <w:spacing w:before="60" w:after="60"/>
      </w:pPr>
      <w:r>
        <w:rPr>
          <w:rFonts w:ascii="游ゴシック" w:hAnsi="游ゴシック" w:eastAsia="游ゴシック"/>
          <w:b w:val="0"/>
          <w:i w:val="0"/>
          <w:sz w:val="21"/>
        </w:rPr>
        <w:t>一方、</w:t>
      </w:r>
      <w:r>
        <w:rPr>
          <w:rFonts w:ascii="游ゴシック" w:hAnsi="游ゴシック" w:eastAsia="游ゴシック"/>
          <w:b/>
          <w:i w:val="0"/>
          <w:sz w:val="21"/>
        </w:rPr>
        <w:t>仕様として先に決められることが3つあります。</w:t>
      </w:r>
    </w:p>
    <w:p>
      <w:pPr>
        <w:keepNext/>
        <w:spacing w:before="200" w:after="40"/>
      </w:pPr>
      <w:r>
        <w:rPr>
          <w:rFonts w:ascii="游ゴシック" w:hAnsi="游ゴシック" w:eastAsia="游ゴシック"/>
          <w:b/>
          <w:i w:val="0"/>
          <w:color w:val="1F4D78"/>
          <w:sz w:val="22"/>
        </w:rPr>
        <w:t>【表9】障がい側で先に決めること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3628"/>
        <w:gridCol w:w="5669"/>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決めること</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なぜ先に決めるのか</w:t>
            </w:r>
          </w:p>
        </w:tc>
      </w:tr>
      <w:tr>
        <w:tc>
          <w:tcPr>
            <w:tcW w:type="dxa" w:w="454"/>
            <w:vAlign w:val="center"/>
          </w:tcPr>
          <w:p>
            <w:pPr>
              <w:spacing w:before="20" w:after="20"/>
            </w:pPr>
            <w:r>
              <w:rPr>
                <w:rFonts w:ascii="游ゴシック" w:hAnsi="游ゴシック" w:eastAsia="游ゴシック"/>
                <w:b w:val="0"/>
                <w:i w:val="0"/>
                <w:sz w:val="17"/>
              </w:rPr>
              <w:t>1</w:t>
            </w:r>
          </w:p>
        </w:tc>
        <w:tc>
          <w:tcPr>
            <w:tcW w:type="dxa" w:w="3628"/>
            <w:vAlign w:val="center"/>
          </w:tcPr>
          <w:p>
            <w:pPr>
              <w:spacing w:before="20" w:after="20"/>
            </w:pPr>
            <w:r>
              <w:rPr>
                <w:rFonts w:ascii="游ゴシック" w:hAnsi="游ゴシック" w:eastAsia="游ゴシック"/>
                <w:b/>
                <w:i w:val="0"/>
                <w:sz w:val="17"/>
              </w:rPr>
              <w:t>基準年度を令和7年度末とすること</w:t>
            </w:r>
          </w:p>
        </w:tc>
        <w:tc>
          <w:tcPr>
            <w:tcW w:type="dxa" w:w="5669"/>
            <w:vAlign w:val="center"/>
          </w:tcPr>
          <w:p>
            <w:pPr>
              <w:spacing w:before="20" w:after="20"/>
            </w:pPr>
            <w:r>
              <w:rPr>
                <w:rFonts w:ascii="游ゴシック" w:hAnsi="游ゴシック" w:eastAsia="游ゴシック"/>
                <w:b w:val="0"/>
                <w:i w:val="0"/>
                <w:sz w:val="17"/>
              </w:rPr>
              <w:t>国の考え方は「計画期間の前年度の実績」を基準とする。令和8年度の実績は策定時点で確定しないため、令和7年度末とする</w:t>
            </w:r>
          </w:p>
        </w:tc>
      </w:tr>
      <w:tr>
        <w:tc>
          <w:tcPr>
            <w:tcW w:type="dxa" w:w="454"/>
            <w:vAlign w:val="center"/>
          </w:tcPr>
          <w:p>
            <w:pPr>
              <w:keepNext/>
              <w:spacing w:before="20" w:after="20"/>
            </w:pPr>
            <w:r>
              <w:rPr>
                <w:rFonts w:ascii="游ゴシック" w:hAnsi="游ゴシック" w:eastAsia="游ゴシック"/>
                <w:b w:val="0"/>
                <w:i w:val="0"/>
                <w:sz w:val="17"/>
              </w:rPr>
              <w:t>2</w:t>
            </w:r>
          </w:p>
        </w:tc>
        <w:tc>
          <w:tcPr>
            <w:tcW w:type="dxa" w:w="3628"/>
            <w:vAlign w:val="center"/>
          </w:tcPr>
          <w:p>
            <w:pPr>
              <w:keepNext/>
              <w:spacing w:before="20" w:after="20"/>
            </w:pPr>
            <w:r>
              <w:rPr>
                <w:rFonts w:ascii="游ゴシック" w:hAnsi="游ゴシック" w:eastAsia="游ゴシック"/>
                <w:b/>
                <w:i w:val="0"/>
                <w:sz w:val="17"/>
              </w:rPr>
              <w:t>支給決定量と実利用量を分けて数えること</w:t>
            </w:r>
          </w:p>
        </w:tc>
        <w:tc>
          <w:tcPr>
            <w:tcW w:type="dxa" w:w="5669"/>
            <w:vAlign w:val="center"/>
          </w:tcPr>
          <w:p>
            <w:pPr>
              <w:keepNext/>
              <w:spacing w:before="20" w:after="20"/>
            </w:pPr>
            <w:r>
              <w:rPr>
                <w:rFonts w:ascii="游ゴシック" w:hAnsi="游ゴシック" w:eastAsia="游ゴシック"/>
                <w:b w:val="0"/>
                <w:i w:val="0"/>
                <w:sz w:val="17"/>
              </w:rPr>
              <w:t>骨子案 第2章5が自ら「支給決定量と実利用量を分けて把握する」としている。どちらを活動指標とするかで値が変わる</w:t>
            </w:r>
          </w:p>
        </w:tc>
      </w:tr>
      <w:tr>
        <w:tc>
          <w:tcPr>
            <w:tcW w:type="dxa" w:w="454"/>
            <w:vAlign w:val="center"/>
          </w:tcPr>
          <w:p>
            <w:pPr>
              <w:spacing w:before="20" w:after="20"/>
            </w:pPr>
            <w:r>
              <w:rPr>
                <w:rFonts w:ascii="游ゴシック" w:hAnsi="游ゴシック" w:eastAsia="游ゴシック"/>
                <w:b w:val="0"/>
                <w:i w:val="0"/>
                <w:sz w:val="17"/>
              </w:rPr>
              <w:t>3</w:t>
            </w:r>
          </w:p>
        </w:tc>
        <w:tc>
          <w:tcPr>
            <w:tcW w:type="dxa" w:w="3628"/>
            <w:vAlign w:val="center"/>
          </w:tcPr>
          <w:p>
            <w:pPr>
              <w:spacing w:before="20" w:after="20"/>
            </w:pPr>
            <w:r>
              <w:rPr>
                <w:rFonts w:ascii="游ゴシック" w:hAnsi="游ゴシック" w:eastAsia="游ゴシック"/>
                <w:b/>
                <w:i w:val="0"/>
                <w:sz w:val="17"/>
              </w:rPr>
              <w:t>介護保険へ移る分を両計画で二重に数えないこと</w:t>
            </w:r>
          </w:p>
        </w:tc>
        <w:tc>
          <w:tcPr>
            <w:tcW w:type="dxa" w:w="5669"/>
            <w:vAlign w:val="center"/>
          </w:tcPr>
          <w:p>
            <w:pPr>
              <w:spacing w:before="20" w:after="20"/>
            </w:pPr>
            <w:r>
              <w:rPr>
                <w:rFonts w:ascii="游ゴシック" w:hAnsi="游ゴシック" w:eastAsia="游ゴシック"/>
                <w:b w:val="0"/>
                <w:i w:val="0"/>
                <w:sz w:val="17"/>
              </w:rPr>
              <w:t>第1章4-1（両計画の接点）の9で定めた。活動指標の算定でもこの扱いを揃える</w:t>
            </w:r>
          </w:p>
        </w:tc>
      </w:tr>
    </w:tbl>
    <w:p>
      <w:pPr>
        <w:spacing w:after="40"/>
      </w:pPr>
    </w:p>
    <w:p>
      <w:pPr>
        <w:pStyle w:val="Heading1"/>
        <w:keepNext/>
        <w:spacing w:before="240" w:after="100"/>
      </w:pPr>
      <w:bookmarkStart w:id="116" w:name="_Toc_016"/>
      <w:r>
        <w:rPr>
          <w:rFonts w:ascii="游ゴシック" w:hAnsi="游ゴシック" w:eastAsia="游ゴシック"/>
          <w:b/>
          <w:i w:val="0"/>
          <w:color w:val="2E74B5"/>
          <w:sz w:val="30"/>
        </w:rPr>
        <w:t>5　協議会にお諮りすること</w:t>
      </w:r>
      <w:bookmarkEnd w:id="116"/>
    </w:p>
    <w:p>
      <w:pPr>
        <w:keepNext/>
        <w:spacing w:before="200" w:after="40"/>
      </w:pPr>
      <w:r>
        <w:rPr>
          <w:rFonts w:ascii="游ゴシック" w:hAnsi="游ゴシック" w:eastAsia="游ゴシック"/>
          <w:b/>
          <w:i w:val="0"/>
          <w:color w:val="1F4D78"/>
          <w:sz w:val="22"/>
        </w:rPr>
        <w:t>【表10】協議会にお諮りすること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4535"/>
        <w:gridCol w:w="4762"/>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4535"/>
            <w:shd w:val="clear" w:fill="1F3864"/>
            <w:vAlign w:val="center"/>
          </w:tcPr>
          <w:p>
            <w:pPr>
              <w:spacing w:before="20" w:after="20"/>
              <w:jc w:val="center"/>
            </w:pPr>
            <w:r>
              <w:rPr>
                <w:rFonts w:ascii="游ゴシック" w:hAnsi="游ゴシック" w:eastAsia="游ゴシック"/>
                <w:b/>
                <w:i w:val="0"/>
                <w:color w:val="FFFFFF"/>
                <w:sz w:val="17"/>
              </w:rPr>
              <w:t>お諮りすること</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なぜ先に決めるのか</w:t>
            </w:r>
          </w:p>
        </w:tc>
      </w:tr>
      <w:tr>
        <w:tc>
          <w:tcPr>
            <w:tcW w:type="dxa" w:w="454"/>
            <w:vAlign w:val="center"/>
          </w:tcPr>
          <w:p>
            <w:pPr>
              <w:spacing w:before="20" w:after="20"/>
            </w:pPr>
            <w:r>
              <w:rPr>
                <w:rFonts w:ascii="游ゴシック" w:hAnsi="游ゴシック" w:eastAsia="游ゴシック"/>
                <w:b w:val="0"/>
                <w:i w:val="0"/>
                <w:sz w:val="17"/>
              </w:rPr>
              <w:t>1</w:t>
            </w:r>
          </w:p>
        </w:tc>
        <w:tc>
          <w:tcPr>
            <w:tcW w:type="dxa" w:w="4535"/>
            <w:vAlign w:val="center"/>
          </w:tcPr>
          <w:p>
            <w:pPr>
              <w:spacing w:before="20" w:after="20"/>
            </w:pPr>
            <w:r>
              <w:rPr>
                <w:rFonts w:ascii="游ゴシック" w:hAnsi="游ゴシック" w:eastAsia="游ゴシック"/>
                <w:b/>
                <w:i w:val="0"/>
                <w:sz w:val="17"/>
              </w:rPr>
              <w:t>状態（Ｊ）の6件を、計画期間中に測る年度を限って指標として置くか、実績による指標に置き換えるか</w:t>
            </w:r>
          </w:p>
        </w:tc>
        <w:tc>
          <w:tcPr>
            <w:tcW w:type="dxa" w:w="4762"/>
            <w:vAlign w:val="center"/>
          </w:tcPr>
          <w:p>
            <w:pPr>
              <w:spacing w:before="20" w:after="20"/>
            </w:pPr>
            <w:r>
              <w:rPr>
                <w:rFonts w:ascii="游ゴシック" w:hAnsi="游ゴシック" w:eastAsia="游ゴシック"/>
                <w:b w:val="0"/>
                <w:i w:val="0"/>
                <w:sz w:val="17"/>
              </w:rPr>
              <w:t>置いたままにすると、年次評価で毎年「評価できない」と記録することになる</w:t>
            </w:r>
          </w:p>
        </w:tc>
      </w:tr>
      <w:tr>
        <w:tc>
          <w:tcPr>
            <w:tcW w:type="dxa" w:w="454"/>
            <w:vAlign w:val="center"/>
          </w:tcPr>
          <w:p>
            <w:pPr>
              <w:spacing w:before="20" w:after="20"/>
            </w:pPr>
            <w:r>
              <w:rPr>
                <w:rFonts w:ascii="游ゴシック" w:hAnsi="游ゴシック" w:eastAsia="游ゴシック"/>
                <w:b w:val="0"/>
                <w:i w:val="0"/>
                <w:sz w:val="17"/>
              </w:rPr>
              <w:t>2</w:t>
            </w:r>
          </w:p>
        </w:tc>
        <w:tc>
          <w:tcPr>
            <w:tcW w:type="dxa" w:w="4535"/>
            <w:vAlign w:val="center"/>
          </w:tcPr>
          <w:p>
            <w:pPr>
              <w:spacing w:before="20" w:after="20"/>
            </w:pPr>
            <w:r>
              <w:rPr>
                <w:rFonts w:ascii="游ゴシック" w:hAnsi="游ゴシック" w:eastAsia="游ゴシック"/>
                <w:b w:val="0"/>
                <w:i w:val="0"/>
                <w:sz w:val="17"/>
              </w:rPr>
              <w:t>置き換える場合、</w:t>
            </w:r>
            <w:r>
              <w:rPr>
                <w:rFonts w:ascii="游ゴシック" w:hAnsi="游ゴシック" w:eastAsia="游ゴシック"/>
                <w:b/>
                <w:i w:val="0"/>
                <w:sz w:val="17"/>
              </w:rPr>
              <w:t>調査の値と置き換え後の値を並べて比べないこと</w:t>
            </w:r>
            <w:r>
              <w:rPr>
                <w:rFonts w:ascii="游ゴシック" w:hAnsi="游ゴシック" w:eastAsia="游ゴシック"/>
                <w:b w:val="0"/>
                <w:i w:val="0"/>
                <w:sz w:val="17"/>
              </w:rPr>
              <w:t>の確認</w:t>
            </w:r>
          </w:p>
        </w:tc>
        <w:tc>
          <w:tcPr>
            <w:tcW w:type="dxa" w:w="4762"/>
            <w:vAlign w:val="center"/>
          </w:tcPr>
          <w:p>
            <w:pPr>
              <w:spacing w:before="20" w:after="20"/>
            </w:pPr>
            <w:r>
              <w:rPr>
                <w:rFonts w:ascii="游ゴシック" w:hAnsi="游ゴシック" w:eastAsia="游ゴシック"/>
                <w:b w:val="0"/>
                <w:i w:val="0"/>
                <w:sz w:val="17"/>
              </w:rPr>
              <w:t>分母と設問が違うため、増減を論じられない</w:t>
            </w:r>
          </w:p>
        </w:tc>
      </w:tr>
      <w:tr>
        <w:tc>
          <w:tcPr>
            <w:tcW w:type="dxa" w:w="454"/>
            <w:vAlign w:val="center"/>
          </w:tcPr>
          <w:p>
            <w:pPr>
              <w:spacing w:before="20" w:after="20"/>
            </w:pPr>
            <w:r>
              <w:rPr>
                <w:rFonts w:ascii="游ゴシック" w:hAnsi="游ゴシック" w:eastAsia="游ゴシック"/>
                <w:b w:val="0"/>
                <w:i w:val="0"/>
                <w:sz w:val="17"/>
              </w:rPr>
              <w:t>3</w:t>
            </w:r>
          </w:p>
        </w:tc>
        <w:tc>
          <w:tcPr>
            <w:tcW w:type="dxa" w:w="4535"/>
            <w:vAlign w:val="center"/>
          </w:tcPr>
          <w:p>
            <w:pPr>
              <w:spacing w:before="20" w:after="20"/>
            </w:pPr>
            <w:r>
              <w:rPr>
                <w:rFonts w:ascii="游ゴシック" w:hAnsi="游ゴシック" w:eastAsia="游ゴシック"/>
                <w:b/>
                <w:i w:val="0"/>
                <w:sz w:val="17"/>
              </w:rPr>
              <w:t>仕様が決まっていない6件</w:t>
            </w:r>
            <w:r>
              <w:rPr>
                <w:rFonts w:ascii="游ゴシック" w:hAnsi="游ゴシック" w:eastAsia="游ゴシック"/>
                <w:b w:val="0"/>
                <w:i w:val="0"/>
                <w:sz w:val="17"/>
              </w:rPr>
              <w:t>について、何を数えるか</w:t>
            </w:r>
          </w:p>
        </w:tc>
        <w:tc>
          <w:tcPr>
            <w:tcW w:type="dxa" w:w="4762"/>
            <w:vAlign w:val="center"/>
          </w:tcPr>
          <w:p>
            <w:pPr>
              <w:spacing w:before="20" w:after="20"/>
            </w:pPr>
            <w:r>
              <w:rPr>
                <w:rFonts w:ascii="游ゴシック" w:hAnsi="游ゴシック" w:eastAsia="游ゴシック"/>
                <w:b w:val="0"/>
                <w:i w:val="0"/>
                <w:sz w:val="17"/>
              </w:rPr>
              <w:t>数えるものが決まらないと目標値を決めても測れない</w:t>
            </w:r>
          </w:p>
        </w:tc>
      </w:tr>
      <w:tr>
        <w:tc>
          <w:tcPr>
            <w:tcW w:type="dxa" w:w="454"/>
            <w:vAlign w:val="center"/>
          </w:tcPr>
          <w:p>
            <w:pPr>
              <w:spacing w:before="20" w:after="20"/>
            </w:pPr>
            <w:r>
              <w:rPr>
                <w:rFonts w:ascii="游ゴシック" w:hAnsi="游ゴシック" w:eastAsia="游ゴシック"/>
                <w:b w:val="0"/>
                <w:i w:val="0"/>
                <w:sz w:val="17"/>
              </w:rPr>
              <w:t>4</w:t>
            </w:r>
          </w:p>
        </w:tc>
        <w:tc>
          <w:tcPr>
            <w:tcW w:type="dxa" w:w="4535"/>
            <w:vAlign w:val="center"/>
          </w:tcPr>
          <w:p>
            <w:pPr>
              <w:spacing w:before="20" w:after="20"/>
            </w:pPr>
            <w:r>
              <w:rPr>
                <w:rFonts w:ascii="游ゴシック" w:hAnsi="游ゴシック" w:eastAsia="游ゴシック"/>
                <w:b w:val="0"/>
                <w:i w:val="0"/>
                <w:sz w:val="17"/>
              </w:rPr>
              <w:t>「地域ケア会議の開催回数・検討件数」の二重の扱い</w:t>
            </w:r>
          </w:p>
        </w:tc>
        <w:tc>
          <w:tcPr>
            <w:tcW w:type="dxa" w:w="4762"/>
            <w:vAlign w:val="center"/>
          </w:tcPr>
          <w:p>
            <w:pPr>
              <w:spacing w:before="20" w:after="20"/>
            </w:pPr>
            <w:r>
              <w:rPr>
                <w:rFonts w:ascii="游ゴシック" w:hAnsi="游ゴシック" w:eastAsia="游ゴシック"/>
                <w:b w:val="0"/>
                <w:i w:val="0"/>
                <w:sz w:val="17"/>
              </w:rPr>
              <w:t>同じ指標が2か所にあると、達成状況が2通りになる</w:t>
            </w:r>
          </w:p>
        </w:tc>
      </w:tr>
      <w:tr>
        <w:tc>
          <w:tcPr>
            <w:tcW w:type="dxa" w:w="454"/>
            <w:vAlign w:val="center"/>
          </w:tcPr>
          <w:p>
            <w:pPr>
              <w:keepNext/>
              <w:spacing w:before="20" w:after="20"/>
            </w:pPr>
            <w:r>
              <w:rPr>
                <w:rFonts w:ascii="游ゴシック" w:hAnsi="游ゴシック" w:eastAsia="游ゴシック"/>
                <w:b w:val="0"/>
                <w:i w:val="0"/>
                <w:sz w:val="17"/>
              </w:rPr>
              <w:t>5</w:t>
            </w:r>
          </w:p>
        </w:tc>
        <w:tc>
          <w:tcPr>
            <w:tcW w:type="dxa" w:w="4535"/>
            <w:vAlign w:val="center"/>
          </w:tcPr>
          <w:p>
            <w:pPr>
              <w:keepNext/>
              <w:spacing w:before="20" w:after="20"/>
            </w:pPr>
            <w:r>
              <w:rPr>
                <w:rFonts w:ascii="游ゴシック" w:hAnsi="游ゴシック" w:eastAsia="游ゴシック"/>
                <w:b w:val="0"/>
                <w:i w:val="0"/>
                <w:sz w:val="17"/>
              </w:rPr>
              <w:t>「通いの場」の範囲</w:t>
            </w:r>
          </w:p>
        </w:tc>
        <w:tc>
          <w:tcPr>
            <w:tcW w:type="dxa" w:w="4762"/>
            <w:vAlign w:val="center"/>
          </w:tcPr>
          <w:p>
            <w:pPr>
              <w:keepNext/>
              <w:spacing w:before="20" w:after="20"/>
            </w:pPr>
            <w:r>
              <w:rPr>
                <w:rFonts w:ascii="游ゴシック" w:hAnsi="游ゴシック" w:eastAsia="游ゴシック"/>
                <w:b w:val="0"/>
                <w:i w:val="0"/>
                <w:sz w:val="17"/>
              </w:rPr>
              <w:t>現状値が資料間で食い違っており、範囲を決めないと基準値が定まらない</w:t>
            </w:r>
          </w:p>
        </w:tc>
      </w:tr>
      <w:tr>
        <w:tc>
          <w:tcPr>
            <w:tcW w:type="dxa" w:w="454"/>
            <w:vAlign w:val="center"/>
          </w:tcPr>
          <w:p>
            <w:pPr>
              <w:spacing w:before="20" w:after="20"/>
            </w:pPr>
            <w:r>
              <w:rPr>
                <w:rFonts w:ascii="游ゴシック" w:hAnsi="游ゴシック" w:eastAsia="游ゴシック"/>
                <w:b w:val="0"/>
                <w:i w:val="0"/>
                <w:sz w:val="17"/>
              </w:rPr>
              <w:t>6</w:t>
            </w:r>
          </w:p>
        </w:tc>
        <w:tc>
          <w:tcPr>
            <w:tcW w:type="dxa" w:w="4535"/>
            <w:vAlign w:val="center"/>
          </w:tcPr>
          <w:p>
            <w:pPr>
              <w:spacing w:before="20" w:after="20"/>
            </w:pPr>
            <w:r>
              <w:rPr>
                <w:rFonts w:ascii="游ゴシック" w:hAnsi="游ゴシック" w:eastAsia="游ゴシック"/>
                <w:b w:val="0"/>
                <w:i w:val="0"/>
                <w:sz w:val="17"/>
              </w:rPr>
              <w:t>分母の確定（個別避難計画の策定率・在宅サービス受給率）</w:t>
            </w:r>
          </w:p>
        </w:tc>
        <w:tc>
          <w:tcPr>
            <w:tcW w:type="dxa" w:w="4762"/>
            <w:vAlign w:val="center"/>
          </w:tcPr>
          <w:p>
            <w:pPr>
              <w:spacing w:before="20" w:after="20"/>
            </w:pPr>
            <w:r>
              <w:rPr>
                <w:rFonts w:ascii="游ゴシック" w:hAnsi="游ゴシック" w:eastAsia="游ゴシック"/>
                <w:b w:val="0"/>
                <w:i w:val="0"/>
                <w:sz w:val="17"/>
              </w:rPr>
              <w:t>分母により値が大きく変わる</w:t>
            </w:r>
          </w:p>
        </w:tc>
      </w:tr>
    </w:tbl>
    <w:p>
      <w:pPr>
        <w:spacing w:after="40"/>
      </w:pPr>
    </w:p>
    <w:p>
      <w:pPr>
        <w:spacing w:before="60" w:after="60"/>
      </w:pPr>
      <w:r>
        <w:rPr>
          <w:rFonts w:ascii="游ゴシック" w:hAnsi="游ゴシック" w:eastAsia="游ゴシック"/>
          <w:b/>
          <w:i w:val="0"/>
          <w:sz w:val="21"/>
        </w:rPr>
        <w:t>1から6が決まった後に、目標値をお諮りするのが順序です。</w:t>
      </w:r>
      <w:r>
        <w:rPr>
          <w:rFonts w:ascii="游ゴシック" w:hAnsi="游ゴシック" w:eastAsia="游ゴシック"/>
          <w:b w:val="0"/>
          <w:i w:val="0"/>
          <w:sz w:val="21"/>
        </w:rPr>
        <w:t xml:space="preserve"> 目標値の案は `小野町_第10期_成果指標目標値案_20260813.xlsx` に置いてあります。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第10期　成果指標の仕様</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第10期　成果指標の仕様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第10期　成果指標の仕様</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