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7">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2">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①第6章11「将来に向けたサービス提供体制の確保に関する施策」を新設</w:t>
            </w:r>
            <w:r>
              <w:rPr>
                <w:rFonts w:ascii="游ゴシック" w:hAnsi="游ゴシック" w:eastAsia="游ゴシック"/>
                <w:b w:val="0"/>
                <w:i w:val="0"/>
                <w:sz w:val="17"/>
              </w:rPr>
              <w:t>（第6章10の中長期の推計と対になる記載事項）。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spacing w:before="20" w:after="20"/>
            </w:pPr>
            <w:r>
              <w:rPr>
                <w:rFonts w:ascii="游ゴシック" w:hAnsi="游ゴシック" w:eastAsia="游ゴシック"/>
                <w:b/>
                <w:i w:val="0"/>
                <w:sz w:val="17"/>
              </w:rPr>
              <w:t>本版（第11版・令和8年10月15日）の変更</w:t>
            </w:r>
          </w:p>
        </w:tc>
        <w:tc>
          <w:tcPr>
            <w:tcW w:type="dxa" w:w="8020"/>
            <w:vAlign w:val="center"/>
          </w:tcPr>
          <w:p>
            <w:pPr>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①第6章10を介護保険法第117条第2項第3号に基づくものとして位置づけ、地域支援事業の量の中長期的な推計を加えた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②第6章11を同条第2項第4号に基づくものとして位置づけ、地域支援事業の実施の面を加えて6つとした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keepNext/>
              <w:spacing w:before="20" w:after="20"/>
            </w:pPr>
            <w:r>
              <w:rPr>
                <w:rFonts w:ascii="游ゴシック" w:hAnsi="游ゴシック" w:eastAsia="游ゴシック"/>
                <w:b/>
                <w:i w:val="0"/>
                <w:sz w:val="17"/>
              </w:rPr>
              <w:t>第11版の追記（同日）</w:t>
            </w:r>
          </w:p>
        </w:tc>
        <w:tc>
          <w:tcPr>
            <w:tcW w:type="dxa" w:w="8020"/>
            <w:vAlign w:val="center"/>
          </w:tcPr>
          <w:p>
            <w:pPr>
              <w:keepNext/>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本素案には確定していない箇所が152あります。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6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町からのデータ受領を待っているのは78箇所（51.3％）で、最も多いのは協議会で設定する成果指標の目標値55箇所（36.2％）です。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36.2％</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78</w:t>
            </w:r>
          </w:p>
        </w:tc>
        <w:tc>
          <w:tcPr>
            <w:tcW w:type="dxa" w:w="1314"/>
            <w:vAlign w:val="center"/>
          </w:tcPr>
          <w:p>
            <w:pPr>
              <w:spacing w:before="20" w:after="20"/>
            </w:pPr>
            <w:r>
              <w:rPr>
                <w:rFonts w:ascii="游ゴシック" w:hAnsi="游ゴシック" w:eastAsia="游ゴシック"/>
                <w:b/>
                <w:i w:val="0"/>
                <w:sz w:val="17"/>
              </w:rPr>
              <w:t>51.3％</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8.6％</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3.9％</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保険料基準額月額6,048円まで算定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5"/>
        <w:gridCol w:w="7406"/>
      </w:tblGrid>
      <w:tr>
        <w:tc>
          <w:tcPr>
            <w:tcW w:type="dxa" w:w="2345"/>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0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345"/>
            <w:vAlign w:val="center"/>
          </w:tcPr>
          <w:p>
            <w:pPr>
              <w:spacing w:before="20" w:after="20"/>
            </w:pPr>
            <w:r>
              <w:rPr>
                <w:rFonts w:ascii="游ゴシック" w:hAnsi="游ゴシック" w:eastAsia="游ゴシック"/>
                <w:b w:val="0"/>
                <w:i w:val="0"/>
                <w:sz w:val="17"/>
              </w:rPr>
              <w:t>第1章　計画策定にあたって</w:t>
            </w:r>
          </w:p>
        </w:tc>
        <w:tc>
          <w:tcPr>
            <w:tcW w:type="dxa" w:w="740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345"/>
            <w:vAlign w:val="center"/>
          </w:tcPr>
          <w:p>
            <w:pPr>
              <w:spacing w:before="20" w:after="20"/>
            </w:pPr>
            <w:r>
              <w:rPr>
                <w:rFonts w:ascii="游ゴシック" w:hAnsi="游ゴシック" w:eastAsia="游ゴシック"/>
                <w:b w:val="0"/>
                <w:i w:val="0"/>
                <w:sz w:val="17"/>
              </w:rPr>
              <w:t>第2章　小野町の高齢者・介護等の状況</w:t>
            </w:r>
          </w:p>
        </w:tc>
        <w:tc>
          <w:tcPr>
            <w:tcW w:type="dxa" w:w="740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345"/>
            <w:vAlign w:val="center"/>
          </w:tcPr>
          <w:p>
            <w:pPr>
              <w:spacing w:before="20" w:after="20"/>
            </w:pPr>
            <w:r>
              <w:rPr>
                <w:rFonts w:ascii="游ゴシック" w:hAnsi="游ゴシック" w:eastAsia="游ゴシック"/>
                <w:b/>
                <w:i w:val="0"/>
                <w:sz w:val="17"/>
              </w:rPr>
              <w:t>第3章　第9期計画の実施状況と評価</w:t>
            </w:r>
          </w:p>
        </w:tc>
        <w:tc>
          <w:tcPr>
            <w:tcW w:type="dxa" w:w="740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345"/>
            <w:vAlign w:val="center"/>
          </w:tcPr>
          <w:p>
            <w:pPr>
              <w:spacing w:before="20" w:after="20"/>
            </w:pPr>
            <w:r>
              <w:rPr>
                <w:rFonts w:ascii="游ゴシック" w:hAnsi="游ゴシック" w:eastAsia="游ゴシック"/>
                <w:b w:val="0"/>
                <w:i w:val="0"/>
                <w:sz w:val="17"/>
              </w:rPr>
              <w:t>第4章　計画の基本的考え方</w:t>
            </w:r>
          </w:p>
        </w:tc>
        <w:tc>
          <w:tcPr>
            <w:tcW w:type="dxa" w:w="740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345"/>
            <w:vAlign w:val="center"/>
          </w:tcPr>
          <w:p>
            <w:pPr>
              <w:spacing w:before="20" w:after="20"/>
            </w:pPr>
            <w:r>
              <w:rPr>
                <w:rFonts w:ascii="游ゴシック" w:hAnsi="游ゴシック" w:eastAsia="游ゴシック"/>
                <w:b w:val="0"/>
                <w:i w:val="0"/>
                <w:sz w:val="17"/>
              </w:rPr>
              <w:t>第5章　施策の展開</w:t>
            </w:r>
          </w:p>
        </w:tc>
        <w:tc>
          <w:tcPr>
            <w:tcW w:type="dxa" w:w="740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345"/>
            <w:vAlign w:val="center"/>
          </w:tcPr>
          <w:p>
            <w:pPr>
              <w:keepNext/>
              <w:spacing w:before="20" w:after="20"/>
            </w:pPr>
            <w:r>
              <w:rPr>
                <w:rFonts w:ascii="游ゴシック" w:hAnsi="游ゴシック" w:eastAsia="游ゴシック"/>
                <w:b/>
                <w:i w:val="0"/>
                <w:sz w:val="17"/>
              </w:rPr>
              <w:t>第6章　介護保険事業等の見込み</w:t>
            </w:r>
          </w:p>
        </w:tc>
        <w:tc>
          <w:tcPr>
            <w:tcW w:type="dxa" w:w="740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介護施設整備に係る基本方針と必要利用定員総数／9 低所得者支援／10 中長期の見通し／11 将来に向けたサービス提供体制の確保に関する施策</w:t>
            </w:r>
          </w:p>
        </w:tc>
      </w:tr>
      <w:tr>
        <w:tc>
          <w:tcPr>
            <w:tcW w:type="dxa" w:w="2345"/>
            <w:vAlign w:val="center"/>
          </w:tcPr>
          <w:p>
            <w:pPr>
              <w:spacing w:before="20" w:after="20"/>
            </w:pPr>
            <w:r>
              <w:rPr>
                <w:rFonts w:ascii="游ゴシック" w:hAnsi="游ゴシック" w:eastAsia="游ゴシック"/>
                <w:b w:val="0"/>
                <w:i w:val="0"/>
                <w:sz w:val="17"/>
              </w:rPr>
              <w:t>資料編</w:t>
            </w:r>
          </w:p>
        </w:tc>
        <w:tc>
          <w:tcPr>
            <w:tcW w:type="dxa" w:w="740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9"/>
        <w:gridCol w:w="3632"/>
        <w:gridCol w:w="3790"/>
      </w:tblGrid>
      <w:tr>
        <w:tc>
          <w:tcPr>
            <w:tcW w:type="dxa" w:w="2329"/>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63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790"/>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329"/>
            <w:vAlign w:val="center"/>
          </w:tcPr>
          <w:p>
            <w:pPr>
              <w:spacing w:before="20" w:after="20"/>
            </w:pPr>
            <w:r>
              <w:rPr>
                <w:rFonts w:ascii="游ゴシック" w:hAnsi="游ゴシック" w:eastAsia="游ゴシック"/>
                <w:b/>
                <w:i w:val="0"/>
                <w:sz w:val="17"/>
              </w:rPr>
              <w:t>2040年等の中長期を見据えた見込量</w:t>
            </w:r>
          </w:p>
        </w:tc>
        <w:tc>
          <w:tcPr>
            <w:tcW w:type="dxa" w:w="3632"/>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3790"/>
            <w:vAlign w:val="center"/>
          </w:tcPr>
          <w:p>
            <w:pPr>
              <w:spacing w:before="20" w:after="20"/>
            </w:pPr>
            <w:r>
              <w:rPr>
                <w:rFonts w:ascii="游ゴシック" w:hAnsi="游ゴシック" w:eastAsia="游ゴシック"/>
                <w:b/>
                <w:i w:val="0"/>
                <w:sz w:val="17"/>
              </w:rPr>
              <w:t>第6章10に、令和22年・令和32年の認定者数・給付費・第1号被保険者1人当たりの負担の見通しを置いた</w:t>
            </w:r>
          </w:p>
        </w:tc>
      </w:tr>
      <w:tr>
        <w:tc>
          <w:tcPr>
            <w:tcW w:type="dxa" w:w="2329"/>
            <w:vAlign w:val="center"/>
          </w:tcPr>
          <w:p>
            <w:pPr>
              <w:spacing w:before="20" w:after="20"/>
            </w:pPr>
            <w:r>
              <w:rPr>
                <w:rFonts w:ascii="游ゴシック" w:hAnsi="游ゴシック" w:eastAsia="游ゴシック"/>
                <w:b/>
                <w:i w:val="0"/>
                <w:sz w:val="17"/>
              </w:rPr>
              <w:t>中山間・人口減少地域への対応</w:t>
            </w:r>
          </w:p>
        </w:tc>
        <w:tc>
          <w:tcPr>
            <w:tcW w:type="dxa" w:w="3632"/>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3790"/>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329"/>
            <w:vAlign w:val="center"/>
          </w:tcPr>
          <w:p>
            <w:pPr>
              <w:spacing w:before="20" w:after="20"/>
            </w:pPr>
            <w:r>
              <w:rPr>
                <w:rFonts w:ascii="游ゴシック" w:hAnsi="游ゴシック" w:eastAsia="游ゴシック"/>
                <w:b w:val="0"/>
                <w:i w:val="0"/>
                <w:sz w:val="17"/>
              </w:rPr>
              <w:t>医療・介護連携</w:t>
            </w:r>
          </w:p>
        </w:tc>
        <w:tc>
          <w:tcPr>
            <w:tcW w:type="dxa" w:w="3632"/>
            <w:vAlign w:val="center"/>
          </w:tcPr>
          <w:p>
            <w:pPr>
              <w:spacing w:before="20" w:after="20"/>
            </w:pPr>
            <w:r>
              <w:rPr>
                <w:rFonts w:ascii="游ゴシック" w:hAnsi="游ゴシック" w:eastAsia="游ゴシック"/>
                <w:b w:val="0"/>
                <w:i w:val="0"/>
                <w:sz w:val="17"/>
              </w:rPr>
              <w:t>在宅医療・介護連携推進事業の深化</w:t>
            </w:r>
          </w:p>
        </w:tc>
        <w:tc>
          <w:tcPr>
            <w:tcW w:type="dxa" w:w="3790"/>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329"/>
            <w:vAlign w:val="center"/>
          </w:tcPr>
          <w:p>
            <w:pPr>
              <w:keepNext/>
              <w:spacing w:before="20" w:after="20"/>
            </w:pPr>
            <w:r>
              <w:rPr>
                <w:rFonts w:ascii="游ゴシック" w:hAnsi="游ゴシック" w:eastAsia="游ゴシック"/>
                <w:b w:val="0"/>
                <w:i w:val="0"/>
                <w:sz w:val="17"/>
              </w:rPr>
              <w:t>高齢者向け住まい</w:t>
            </w:r>
          </w:p>
        </w:tc>
        <w:tc>
          <w:tcPr>
            <w:tcW w:type="dxa" w:w="3632"/>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3790"/>
            <w:vAlign w:val="center"/>
          </w:tcPr>
          <w:p>
            <w:pPr>
              <w:keepNext/>
              <w:spacing w:before="20" w:after="20"/>
            </w:pPr>
            <w:r>
              <w:rPr>
                <w:rFonts w:ascii="游ゴシック" w:hAnsi="游ゴシック" w:eastAsia="游ゴシック"/>
                <w:b w:val="0"/>
                <w:i w:val="0"/>
                <w:sz w:val="17"/>
              </w:rPr>
              <w:t>本町の該当施設は【町データ待ち】。第2章5で把握する</w:t>
            </w:r>
          </w:p>
        </w:tc>
      </w:tr>
      <w:tr>
        <w:tc>
          <w:tcPr>
            <w:tcW w:type="dxa" w:w="2329"/>
            <w:vAlign w:val="center"/>
          </w:tcPr>
          <w:p>
            <w:pPr>
              <w:spacing w:before="20" w:after="20"/>
            </w:pPr>
            <w:r>
              <w:rPr>
                <w:rFonts w:ascii="游ゴシック" w:hAnsi="游ゴシック" w:eastAsia="游ゴシック"/>
                <w:b w:val="0"/>
                <w:i w:val="0"/>
                <w:sz w:val="17"/>
              </w:rPr>
              <w:t>人材確保・生産性向上・経営改善支援</w:t>
            </w:r>
          </w:p>
        </w:tc>
        <w:tc>
          <w:tcPr>
            <w:tcW w:type="dxa" w:w="3632"/>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3790"/>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6"/>
        <w:gridCol w:w="3445"/>
        <w:gridCol w:w="4380"/>
      </w:tblGrid>
      <w:tr>
        <w:tc>
          <w:tcPr>
            <w:tcW w:type="dxa" w:w="19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44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380"/>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6"/>
            <w:vAlign w:val="center"/>
          </w:tcPr>
          <w:p>
            <w:pPr>
              <w:spacing w:before="20" w:after="20"/>
            </w:pPr>
            <w:r>
              <w:rPr>
                <w:rFonts w:ascii="游ゴシック" w:hAnsi="游ゴシック" w:eastAsia="游ゴシック"/>
                <w:b/>
                <w:i w:val="0"/>
                <w:sz w:val="17"/>
              </w:rPr>
              <w:t>第1号被保険者負担割合（政令）</w:t>
            </w:r>
          </w:p>
        </w:tc>
        <w:tc>
          <w:tcPr>
            <w:tcW w:type="dxa" w:w="3445"/>
            <w:vAlign w:val="center"/>
          </w:tcPr>
          <w:p>
            <w:pPr>
              <w:spacing w:before="20" w:after="20"/>
            </w:pPr>
            <w:r>
              <w:rPr>
                <w:rFonts w:ascii="游ゴシック" w:hAnsi="游ゴシック" w:eastAsia="游ゴシック"/>
                <w:b/>
                <w:i w:val="0"/>
                <w:sz w:val="17"/>
              </w:rPr>
              <w:t>保険料基準額。1ポイントで月額269円動く</w:t>
            </w:r>
          </w:p>
        </w:tc>
        <w:tc>
          <w:tcPr>
            <w:tcW w:type="dxa" w:w="4380"/>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926"/>
            <w:vAlign w:val="center"/>
          </w:tcPr>
          <w:p>
            <w:pPr>
              <w:spacing w:before="20" w:after="20"/>
            </w:pPr>
            <w:r>
              <w:rPr>
                <w:rFonts w:ascii="游ゴシック" w:hAnsi="游ゴシック" w:eastAsia="游ゴシック"/>
                <w:b/>
                <w:i w:val="0"/>
                <w:sz w:val="17"/>
              </w:rPr>
              <w:t>介護報酬の改定率</w:t>
            </w:r>
          </w:p>
        </w:tc>
        <w:tc>
          <w:tcPr>
            <w:tcW w:type="dxa" w:w="3445"/>
            <w:vAlign w:val="center"/>
          </w:tcPr>
          <w:p>
            <w:pPr>
              <w:spacing w:before="20" w:after="20"/>
            </w:pPr>
            <w:r>
              <w:rPr>
                <w:rFonts w:ascii="游ゴシック" w:hAnsi="游ゴシック" w:eastAsia="游ゴシック"/>
                <w:b/>
                <w:i w:val="0"/>
                <w:sz w:val="17"/>
              </w:rPr>
              <w:t>サービス単価、総給付費、保険料基準額</w:t>
            </w:r>
          </w:p>
        </w:tc>
        <w:tc>
          <w:tcPr>
            <w:tcW w:type="dxa" w:w="4380"/>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926"/>
            <w:vAlign w:val="center"/>
          </w:tcPr>
          <w:p>
            <w:pPr>
              <w:spacing w:before="20" w:after="20"/>
            </w:pPr>
            <w:r>
              <w:rPr>
                <w:rFonts w:ascii="游ゴシック" w:hAnsi="游ゴシック" w:eastAsia="游ゴシック"/>
                <w:b w:val="0"/>
                <w:i w:val="0"/>
                <w:sz w:val="17"/>
              </w:rPr>
              <w:t>給付と負担の見直し</w:t>
            </w:r>
          </w:p>
        </w:tc>
        <w:tc>
          <w:tcPr>
            <w:tcW w:type="dxa" w:w="344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380"/>
            <w:vAlign w:val="center"/>
          </w:tcPr>
          <w:p>
            <w:pPr>
              <w:spacing w:before="20" w:after="20"/>
            </w:pPr>
            <w:r>
              <w:rPr>
                <w:rFonts w:ascii="游ゴシック" w:hAnsi="游ゴシック" w:eastAsia="游ゴシック"/>
                <w:b w:val="0"/>
                <w:i w:val="0"/>
                <w:sz w:val="17"/>
              </w:rPr>
              <w:t>【町データ待ち】</w:t>
            </w:r>
          </w:p>
        </w:tc>
      </w:tr>
      <w:tr>
        <w:tc>
          <w:tcPr>
            <w:tcW w:type="dxa" w:w="1926"/>
            <w:vAlign w:val="center"/>
          </w:tcPr>
          <w:p>
            <w:pPr>
              <w:spacing w:before="20" w:after="20"/>
            </w:pPr>
            <w:r>
              <w:rPr>
                <w:rFonts w:ascii="游ゴシック" w:hAnsi="游ゴシック" w:eastAsia="游ゴシック"/>
                <w:b w:val="0"/>
                <w:i w:val="0"/>
                <w:sz w:val="17"/>
              </w:rPr>
              <w:t>地域支援事業の見直し</w:t>
            </w:r>
          </w:p>
        </w:tc>
        <w:tc>
          <w:tcPr>
            <w:tcW w:type="dxa" w:w="344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380"/>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9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44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380"/>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9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44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①介護サービス量の中長期的な推計（第6章10）②将来に向けたサービス提供体制の確保に関する施策（第6章11）③医療と介護の連携の状況・有料老人ホーム等の入居定員の勘案（第2章5・第6章2）</w:t>
            </w:r>
          </w:p>
        </w:tc>
        <w:tc>
          <w:tcPr>
            <w:tcW w:type="dxa" w:w="4380"/>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926"/>
            <w:vAlign w:val="center"/>
          </w:tcPr>
          <w:p>
            <w:pPr>
              <w:spacing w:before="20" w:after="20"/>
            </w:pPr>
            <w:r>
              <w:rPr>
                <w:rFonts w:ascii="游ゴシック" w:hAnsi="游ゴシック" w:eastAsia="游ゴシック"/>
                <w:b w:val="0"/>
                <w:i w:val="0"/>
                <w:sz w:val="17"/>
              </w:rPr>
              <w:t>同（適用の可否を確かめるもの）</w:t>
            </w:r>
          </w:p>
        </w:tc>
        <w:tc>
          <w:tcPr>
            <w:tcW w:type="dxa" w:w="344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4380"/>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国の検討では、特別地域加算の対象地域を基準に含めることとされており、</w:t>
            </w:r>
            <w:r>
              <w:rPr>
                <w:rFonts w:ascii="游ゴシック" w:hAnsi="游ゴシック" w:eastAsia="游ゴシック"/>
                <w:b/>
                <w:i w:val="0"/>
                <w:sz w:val="17"/>
              </w:rPr>
              <w:t>本町には山村振興法第7条第1項の振興山村（旧夏井村の区域）がある。</w:t>
            </w:r>
            <w:r>
              <w:rPr>
                <w:rFonts w:ascii="游ゴシック" w:hAnsi="游ゴシック" w:eastAsia="游ゴシック"/>
                <w:b w:val="0"/>
                <w:i w:val="0"/>
                <w:sz w:val="17"/>
              </w:rPr>
              <w:t>ただし基準は省令で定まるものであり、</w:t>
            </w:r>
            <w:r>
              <w:rPr>
                <w:rFonts w:ascii="游ゴシック" w:hAnsi="游ゴシック" w:eastAsia="游ゴシック"/>
                <w:b/>
                <w:i w:val="0"/>
                <w:sz w:val="17"/>
              </w:rPr>
              <w:t>指定の有無は【町データ待ち】。本文には書いていない</w:t>
            </w:r>
          </w:p>
        </w:tc>
      </w:tr>
      <w:tr>
        <w:tc>
          <w:tcPr>
            <w:tcW w:type="dxa" w:w="1926"/>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344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4380"/>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9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44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4380"/>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keepNext/>
              <w:spacing w:before="20" w:after="20"/>
            </w:pPr>
            <w:r>
              <w:rPr>
                <w:rFonts w:ascii="游ゴシック" w:hAnsi="游ゴシック" w:eastAsia="游ゴシック"/>
                <w:b w:val="0"/>
                <w:i w:val="0"/>
                <w:sz w:val="17"/>
              </w:rPr>
              <w:t>小野町過疎地域持続的発展計画</w:t>
            </w:r>
          </w:p>
        </w:tc>
        <w:tc>
          <w:tcPr>
            <w:tcW w:type="dxa" w:w="1954"/>
            <w:vAlign w:val="center"/>
          </w:tcPr>
          <w:p>
            <w:pPr>
              <w:keepNext/>
              <w:spacing w:before="20" w:after="20"/>
            </w:pPr>
            <w:r>
              <w:rPr>
                <w:rFonts w:ascii="游ゴシック" w:hAnsi="游ゴシック" w:eastAsia="游ゴシック"/>
                <w:b w:val="0"/>
                <w:i w:val="0"/>
                <w:sz w:val="17"/>
              </w:rPr>
              <w:t>―</w:t>
            </w:r>
          </w:p>
        </w:tc>
        <w:tc>
          <w:tcPr>
            <w:tcW w:type="dxa" w:w="4907"/>
            <w:vAlign w:val="center"/>
          </w:tcPr>
          <w:p>
            <w:pPr>
              <w:keepNext/>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keepNext/>
              <w:spacing w:before="20" w:after="20"/>
            </w:pPr>
            <w:r>
              <w:rPr>
                <w:rFonts w:ascii="游ゴシック" w:hAnsi="游ゴシック" w:eastAsia="游ゴシック"/>
                <w:b w:val="0"/>
                <w:i w:val="0"/>
                <w:sz w:val="17"/>
              </w:rPr>
              <w:t>令和7年度調査</w:t>
            </w:r>
          </w:p>
        </w:tc>
        <w:tc>
          <w:tcPr>
            <w:tcW w:type="dxa" w:w="7057"/>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val="0"/>
          <w:i w:val="0"/>
          <w:sz w:val="17"/>
        </w:rPr>
        <w:t>※ 第9期が見込んだ基金取崩3,500万円が実際に行われたかは【町データ待ち】。令和6・7年度の決算で確認します。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【表33】第2章5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【表34】第2章6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【表35】第2章6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【表36】第2章6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【表37】第2章7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8"/>
        <w:gridCol w:w="7933"/>
      </w:tblGrid>
      <w:tr>
        <w:tc>
          <w:tcPr>
            <w:tcW w:type="dxa" w:w="18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3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8"/>
            <w:vAlign w:val="center"/>
          </w:tcPr>
          <w:p>
            <w:pPr>
              <w:spacing w:before="20" w:after="20"/>
            </w:pPr>
            <w:r>
              <w:rPr>
                <w:rFonts w:ascii="游ゴシック" w:hAnsi="游ゴシック" w:eastAsia="游ゴシック"/>
                <w:b w:val="0"/>
                <w:i w:val="0"/>
                <w:sz w:val="17"/>
              </w:rPr>
              <w:t>第9期での課題</w:t>
            </w:r>
          </w:p>
        </w:tc>
        <w:tc>
          <w:tcPr>
            <w:tcW w:type="dxa" w:w="7933"/>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818"/>
            <w:vAlign w:val="center"/>
          </w:tcPr>
          <w:p>
            <w:pPr>
              <w:spacing w:before="20" w:after="20"/>
            </w:pPr>
            <w:r>
              <w:rPr>
                <w:rFonts w:ascii="游ゴシック" w:hAnsi="游ゴシック" w:eastAsia="游ゴシック"/>
                <w:b w:val="0"/>
                <w:i w:val="0"/>
                <w:sz w:val="17"/>
              </w:rPr>
              <w:t>令和7年度調査からみた状況</w:t>
            </w:r>
          </w:p>
        </w:tc>
        <w:tc>
          <w:tcPr>
            <w:tcW w:type="dxa" w:w="7933"/>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818"/>
            <w:vAlign w:val="center"/>
          </w:tcPr>
          <w:p>
            <w:pPr>
              <w:spacing w:before="20" w:after="20"/>
            </w:pPr>
            <w:r>
              <w:rPr>
                <w:rFonts w:ascii="游ゴシック" w:hAnsi="游ゴシック" w:eastAsia="游ゴシック"/>
                <w:b w:val="0"/>
                <w:i w:val="0"/>
                <w:sz w:val="17"/>
              </w:rPr>
              <w:t>介護予防の実施状況</w:t>
            </w:r>
          </w:p>
        </w:tc>
        <w:tc>
          <w:tcPr>
            <w:tcW w:type="dxa" w:w="7933"/>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一般介護予防事業費は令和3〜5年度が1百万円前後で推移した後、令和6年度に5.3百万円へ5.3倍に増えている（年報 様式4）。</w:t>
            </w:r>
            <w:r>
              <w:rPr>
                <w:rFonts w:ascii="游ゴシック" w:hAnsi="游ゴシック" w:eastAsia="游ゴシック"/>
                <w:b w:val="0"/>
                <w:i w:val="0"/>
                <w:sz w:val="17"/>
              </w:rPr>
              <w:t>何の事業によるものかは【町データ待ち】</w:t>
            </w:r>
          </w:p>
        </w:tc>
      </w:tr>
      <w:tr>
        <w:tc>
          <w:tcPr>
            <w:tcW w:type="dxa" w:w="1818"/>
            <w:vAlign w:val="center"/>
          </w:tcPr>
          <w:p>
            <w:pPr>
              <w:keepNext/>
              <w:spacing w:before="20" w:after="20"/>
            </w:pPr>
            <w:r>
              <w:rPr>
                <w:rFonts w:ascii="游ゴシック" w:hAnsi="游ゴシック" w:eastAsia="游ゴシック"/>
                <w:b/>
                <w:i w:val="0"/>
                <w:sz w:val="17"/>
              </w:rPr>
              <w:t>多様なサービス・活動の実施状況</w:t>
            </w:r>
          </w:p>
        </w:tc>
        <w:tc>
          <w:tcPr>
            <w:tcW w:type="dxa" w:w="7933"/>
            <w:vAlign w:val="center"/>
          </w:tcPr>
          <w:p>
            <w:pPr>
              <w:keepNext/>
              <w:spacing w:before="20" w:after="20"/>
            </w:pPr>
            <w:r>
              <w:rPr>
                <w:rFonts w:ascii="游ゴシック" w:hAnsi="游ゴシック" w:eastAsia="游ゴシック"/>
                <w:b/>
                <w:i w:val="0"/>
                <w:sz w:val="17"/>
              </w:rPr>
              <w:t>本町には訪問型サービスB及び通所型サービスB（住民主体によるサービス）が置かれている。</w:t>
            </w:r>
            <w:r>
              <w:rPr>
                <w:rFonts w:ascii="游ゴシック" w:hAnsi="游ゴシック" w:eastAsia="游ゴシック"/>
                <w:b w:val="0"/>
                <w:i w:val="0"/>
                <w:sz w:val="17"/>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游ゴシック" w:hAnsi="游ゴシック" w:eastAsia="游ゴシック"/>
                <w:b/>
                <w:i w:val="0"/>
                <w:sz w:val="17"/>
              </w:rPr>
              <w:t>ただし令和4年度・令和5年度の実施の有無は無回答で、令和5年度の利用者数は訪問型B 24人に対し通所型Bは0人である。</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現在の実施状況と利用者数は【町データ待ち】</w:t>
            </w:r>
          </w:p>
        </w:tc>
      </w:tr>
      <w:tr>
        <w:tc>
          <w:tcPr>
            <w:tcW w:type="dxa" w:w="1818"/>
            <w:vAlign w:val="center"/>
          </w:tcPr>
          <w:p>
            <w:pPr>
              <w:spacing w:before="20" w:after="20"/>
            </w:pPr>
            <w:r>
              <w:rPr>
                <w:rFonts w:ascii="游ゴシック" w:hAnsi="游ゴシック" w:eastAsia="游ゴシック"/>
                <w:b/>
                <w:i w:val="0"/>
                <w:sz w:val="17"/>
              </w:rPr>
              <w:t>第10期での課題</w:t>
            </w:r>
          </w:p>
        </w:tc>
        <w:tc>
          <w:tcPr>
            <w:tcW w:type="dxa" w:w="7933"/>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【表38】第2章7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【表39】第2章7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【表40】第3章1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【表41】第3章2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【表42】第3章3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【表43】第3章3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【表44】第3章3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【表45】第3章4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【表46】第4章1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【表47】第4章2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【表48】第4章2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【表49】第4章3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【表50】第4章3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【表51】第4章4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【表52】第4章4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【表53】第5章基本目標1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【表54】第5章基本目標1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【表56】第5章基本目標1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【表57】第5章基本目標1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【表58】第5章基本目標1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【表60】第5章基本目標1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【表61】第5章基本目標1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【表64】第5章基本目標2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【表66】第5章基本目標2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【表67】第5章基本目標2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【表70】第5章基本目標2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【表72】第5章基本目標2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【表73】第5章基本目標2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【表75】第5章基本目標2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【表78】第5章基本目標2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【表79】第5章基本目標2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【表83】第5章基本目標2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【表84】第5章基本目標2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【表86】第5章基本目標2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【表87】第5章基本目標3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【表88】第5章基本目標3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【表89】第5章基本目標3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【表90】第5章基本目標3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【表91】第5章基本目標3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【表92】第5章基本目標3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【表93】第5章基本目標3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【表94】第5章基本目標3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【表95】第5章基本目標3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【表96】第5章基本目標3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【表97】要介護認定者数の見込み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【表98】第6章2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r>
          </w:p>
        </w:tc>
        <w:tc>
          <w:tcPr>
            <w:tcW w:type="dxa" w:w="3515"/>
            <w:vAlign w:val="center"/>
          </w:tcPr>
          <w:p>
            <w:pPr>
              <w:spacing w:before="20" w:after="20"/>
            </w:pPr>
            <w:r>
              <w:rPr>
                <w:rFonts w:ascii="游ゴシック" w:hAnsi="游ゴシック" w:eastAsia="游ゴシック"/>
                <w:b w:val="0"/>
                <w:i w:val="0"/>
                <w:sz w:val="17"/>
              </w:rPr>
              <w:t>町内に病院はなく、診療所と訪問看護1か所により在宅療養を支えていま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【表99】第6章2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【表100】第6章2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【表101】第6章3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191,749</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【表102】第6章4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【表103】第6章4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【表104】第6章4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【表105】第6章4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算定の結果、準備基金を取り崩さない場合の保険料基準額は月額6,048円となります。</w:t>
      </w:r>
      <w:r>
        <w:rPr>
          <w:rFonts w:ascii="游ゴシック" w:hAnsi="游ゴシック" w:eastAsia="游ゴシック"/>
          <w:b w:val="0"/>
          <w:i w:val="0"/>
          <w:sz w:val="21"/>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【表106】第6章5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191,749千円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738,660千円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keepNext/>
              <w:spacing w:before="20" w:after="20"/>
            </w:pPr>
            <w:r>
              <w:rPr>
                <w:rFonts w:ascii="游ゴシック" w:hAnsi="游ゴシック" w:eastAsia="游ゴシック"/>
                <w:b w:val="0"/>
                <w:i w:val="0"/>
                <w:sz w:val="17"/>
              </w:rPr>
              <w:t>10,245人</w:t>
            </w:r>
          </w:p>
        </w:tc>
        <w:tc>
          <w:tcPr>
            <w:tcW w:type="dxa" w:w="3747"/>
            <w:vAlign w:val="center"/>
          </w:tcPr>
          <w:p>
            <w:pPr>
              <w:keepNext/>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6,048円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【表107】第6章5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【表108】第6章5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6,048円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基準となる算定。第9期の6,600円から▲552円（▲8.4％）</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5,950円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5,761円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6,317円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6,243円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【表109】第6章6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本町には訪問型サービスB・通所型サービスB（住民主体によるサービス）の担い手が各1団体あることから、これを広げることが現実的な方策となります（第2章7、第5章 基本目標1）。</w:t>
      </w:r>
      <w:r>
        <w:rPr>
          <w:rFonts w:ascii="游ゴシック" w:hAnsi="游ゴシック" w:eastAsia="游ゴシック"/>
          <w:b/>
          <w:i w:val="0"/>
          <w:sz w:val="21"/>
        </w:rPr>
        <w:t>現在の実施状況は【町データ待ち】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システムによる保険料基準額は月額6,533円（100円未満切上げ6,600円）で、標準ケースの6,048円（同6,100円）と485円の差があります。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【表110】第6章7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6,045円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6,048円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6,057円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+477円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年額は、標準ケースの基準額（月額6,048円）をもとに100円未満を切り上げて算出したものです。</w:t>
      </w:r>
    </w:p>
    <w:p>
      <w:pPr>
        <w:keepNext/>
        <w:spacing w:before="200" w:after="40"/>
      </w:pPr>
      <w:r>
        <w:rPr>
          <w:rFonts w:ascii="游ゴシック" w:hAnsi="游ゴシック" w:eastAsia="游ゴシック"/>
          <w:b/>
          <w:i w:val="0"/>
          <w:color w:val="1F4D78"/>
          <w:sz w:val="22"/>
        </w:rPr>
        <w:t>【表111】第6章7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20,700円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35,200円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72,600円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87,100円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94,400円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108,900円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123,400円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137,900円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152,500円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167,000円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174,200円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第9期の年額は基準額6,600円（年額79,200円）による。第10期の年額は標準ケースの基準額6,048円（年額72,573円）によるもので、上記のケースのいずれを採るかにより変わります。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【表112】第6章8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【表113】地域密着型サービスの必要利用定員総数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低所得者支援</w:t>
      </w:r>
      <w:bookmarkEnd w:id="143"/>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【表114】第6章9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pPr>
        <w:pStyle w:val="Heading2"/>
        <w:keepNext/>
        <w:spacing w:before="180" w:after="100"/>
      </w:pPr>
      <w:bookmarkStart w:id="144" w:name="_Toc_044"/>
      <w:r>
        <w:rPr>
          <w:rFonts w:ascii="游ゴシック" w:hAnsi="游ゴシック" w:eastAsia="游ゴシック"/>
          <w:b/>
          <w:i w:val="0"/>
          <w:color w:val="2E74B5"/>
          <w:sz w:val="25"/>
        </w:rPr>
        <w:t>10　中長期の見通し（令和22年・令和32年）</w:t>
      </w:r>
      <w:bookmarkEnd w:id="144"/>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【表115】第6章10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【表116】第6章10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【表117】第6章10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5" w:name="_Toc_045"/>
      <w:r>
        <w:rPr>
          <w:rFonts w:ascii="游ゴシック" w:hAnsi="游ゴシック" w:eastAsia="游ゴシック"/>
          <w:b/>
          <w:i w:val="0"/>
          <w:color w:val="2E74B5"/>
          <w:sz w:val="25"/>
        </w:rPr>
        <w:t>11　将来に向けたサービス提供体制の確保に関する施策</w:t>
      </w:r>
      <w:bookmarkEnd w:id="145"/>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です。本改正をどこまで取り込むかは、告示を待って確かめます。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【表118】第6章11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福島県が設置する協議会（福祉人材確保・生産性向上等）に町が参画し、町内・圏域の事業所をつなぎます。</w:t>
            </w:r>
            <w:r>
              <w:rPr>
                <w:rFonts w:ascii="游ゴシック" w:hAnsi="游ゴシック" w:eastAsia="游ゴシック"/>
                <w:b w:val="0"/>
                <w:i w:val="0"/>
                <w:sz w:val="17"/>
              </w:rPr>
              <w:t xml:space="preserve"> 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なお、第10期の国の基本指針は令和9年1月告示の予定です。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6" w:name="_Toc_046"/>
      <w:r>
        <w:rPr>
          <w:rFonts w:ascii="游ゴシック" w:hAnsi="游ゴシック" w:eastAsia="游ゴシック"/>
          <w:b/>
          <w:i w:val="0"/>
          <w:color w:val="2E74B5"/>
          <w:sz w:val="30"/>
        </w:rPr>
        <w:t>資料編</w:t>
      </w:r>
      <w:bookmarkEnd w:id="146"/>
    </w:p>
    <w:p>
      <w:pPr>
        <w:keepNext/>
        <w:spacing w:before="200" w:after="40"/>
      </w:pPr>
      <w:r>
        <w:rPr>
          <w:rFonts w:ascii="游ゴシック" w:hAnsi="游ゴシック" w:eastAsia="游ゴシック"/>
          <w:b/>
          <w:i w:val="0"/>
          <w:color w:val="1F4D78"/>
          <w:sz w:val="22"/>
        </w:rPr>
        <w:t>【表119】資料編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7" w:name="_Toc_047"/>
      <w:r>
        <w:rPr>
          <w:rFonts w:ascii="游ゴシック" w:hAnsi="游ゴシック" w:eastAsia="游ゴシック"/>
          <w:b/>
          <w:i w:val="0"/>
          <w:color w:val="2E74B5"/>
          <w:sz w:val="25"/>
        </w:rPr>
        <w:t>8　成果指標の定義</w:t>
      </w:r>
      <w:bookmarkEnd w:id="147"/>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【表120】資料編8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8" w:name="_Toc_048"/>
      <w:r>
        <w:rPr>
          <w:rFonts w:ascii="游ゴシック" w:hAnsi="游ゴシック" w:eastAsia="游ゴシック"/>
          <w:b/>
          <w:i w:val="0"/>
          <w:color w:val="2E74B5"/>
          <w:sz w:val="25"/>
        </w:rPr>
        <w:t>9　年次評価の様式</w:t>
      </w:r>
      <w:bookmarkEnd w:id="148"/>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【表121】資料編9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49" w:name="_Toc_049"/>
      <w:r>
        <w:rPr>
          <w:rFonts w:ascii="游ゴシック" w:hAnsi="游ゴシック" w:eastAsia="游ゴシック"/>
          <w:b/>
          <w:i w:val="0"/>
          <w:color w:val="2E74B5"/>
          <w:sz w:val="25"/>
        </w:rPr>
        <w:t>10　施策の見直しの基準</w:t>
      </w:r>
      <w:bookmarkEnd w:id="149"/>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【表122】資料編10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0" w:name="_Toc_050"/>
      <w:r>
        <w:rPr>
          <w:rFonts w:ascii="游ゴシック" w:hAnsi="游ゴシック" w:eastAsia="游ゴシック"/>
          <w:b/>
          <w:i w:val="0"/>
          <w:color w:val="2E74B5"/>
          <w:sz w:val="25"/>
        </w:rPr>
        <w:t>11　主な参照資料</w:t>
      </w:r>
      <w:bookmarkEnd w:id="150"/>
    </w:p>
    <w:p>
      <w:pPr>
        <w:keepNext/>
        <w:spacing w:before="200" w:after="40"/>
      </w:pPr>
      <w:r>
        <w:rPr>
          <w:rFonts w:ascii="游ゴシック" w:hAnsi="游ゴシック" w:eastAsia="游ゴシック"/>
          <w:b/>
          <w:i w:val="0"/>
          <w:color w:val="1F4D78"/>
          <w:sz w:val="22"/>
        </w:rPr>
        <w:t>【表123】資料編11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12　図表番号一覧</w:t>
      </w:r>
      <w:bookmarkEnd w:id="151"/>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第6章9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第6章11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2" w:name="_Toc_052"/>
      <w:r>
        <w:rPr>
          <w:rFonts w:ascii="游ゴシック" w:hAnsi="游ゴシック" w:eastAsia="游ゴシック"/>
          <w:b/>
          <w:i w:val="0"/>
          <w:color w:val="2E74B5"/>
          <w:sz w:val="30"/>
        </w:rPr>
        <w:t>参考　本素案の確定に必要な事項</w:t>
      </w:r>
      <w:bookmarkEnd w:id="152"/>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