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認知症施策推進計画と成年後見制度利用促進基本計画は努力義務ですが、本村は第9期において高齢者福祉計画・介護保険事業計画と一体で策定しており、第10期もこれを踏襲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明朝" w:cs="游明朝" w:eastAsia="游明朝" w:hAnsi="游明朝"/>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1"/>
          <w:szCs w:val="21"/>
        </w:rPr>
        <w:t xml:space="preserve">認知症高齢者の状況</w:t>
      </w:r>
    </w:p>
    <w:p>
      <w:pPr>
        <w:spacing w:after="120" w:line="300"/>
      </w:pPr>
      <w:r>
        <w:rPr>
          <w:rFonts w:ascii="游明朝" w:cs="游明朝" w:eastAsia="游明朝" w:hAnsi="游明朝"/>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明朝" w:cs="游明朝" w:eastAsia="游明朝" w:hAnsi="游明朝"/>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(7)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00" w:line="300"/>
      </w:pPr>
      <w:r>
        <w:rPr>
          <w:rFonts w:ascii="游ゴシック" w:cs="游ゴシック" w:eastAsia="游ゴシック" w:hAnsi="游ゴシック"/>
          <w:b/>
          <w:bCs/>
          <w:color w:val="2E75B6"/>
          <w:sz w:val="21"/>
          <w:szCs w:val="21"/>
        </w:rPr>
        <w:t xml:space="preserve">目標別に全国平均と比べると</w:t>
      </w:r>
    </w:p>
    <w:p>
      <w:pPr>
        <w:spacing w:after="120" w:line="300"/>
      </w:pPr>
      <w:r>
        <w:rPr>
          <w:rFonts w:ascii="游明朝" w:cs="游明朝" w:eastAsia="游明朝" w:hAnsi="游明朝"/>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118"/>
        <w:gridCol w:w="1310"/>
        <w:gridCol w:w="1498"/>
        <w:gridCol w:w="149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目標Ⅰ　持続可能な地域のあるべき姿をかたちにする</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目標Ⅰ　自立支援・重度化防止の取組の推進</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目標Ⅲ　在宅医療・介護連携等の推進</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目標Ⅱ　介護給付等の適正化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目標Ⅲ　地域包括ケアの基盤整備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く下回っているのは支援交付金の目標Ⅱ（認知症総合支援）で、全国平均を19.1点下回ります。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明朝" w:cs="游明朝" w:eastAsia="游明朝" w:hAnsi="游明朝"/>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00" w:line="300"/>
      </w:pPr>
      <w:r>
        <w:rPr>
          <w:rFonts w:ascii="游ゴシック" w:cs="游ゴシック" w:eastAsia="游ゴシック" w:hAnsi="游ゴシック"/>
          <w:b/>
          <w:bCs/>
          <w:color w:val="2E75B6"/>
          <w:sz w:val="21"/>
          <w:szCs w:val="21"/>
        </w:rPr>
        <w:t xml:space="preserve">残された課題は2点です</w:t>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(9)）。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明朝" w:cs="游明朝" w:eastAsia="游明朝" w:hAnsi="游明朝"/>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明朝" w:cs="游明朝" w:eastAsia="游明朝" w:hAnsi="游明朝"/>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明朝" w:cs="游明朝" w:eastAsia="游明朝" w:hAnsi="游明朝"/>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明朝" w:cs="游明朝" w:eastAsia="游明朝" w:hAnsi="游明朝"/>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(9)）。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(7)）。</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明朝" w:cs="游明朝" w:eastAsia="游明朝" w:hAnsi="游明朝"/>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明朝" w:cs="游明朝" w:eastAsia="游明朝" w:hAnsi="游明朝"/>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難聴が認知症の危険因子とされたことを踏まえ、健診等の機会を通じた難聴の早期発見と、補聴器等による早期介入の仕組みを検討します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認知症施策推進計画としての位置づけ</w:t>
      </w:r>
    </w:p>
    <w:p>
      <w:pPr>
        <w:spacing w:after="120" w:line="300"/>
      </w:pPr>
      <w:r>
        <w:rPr>
          <w:rFonts w:ascii="游明朝" w:cs="游明朝" w:eastAsia="游明朝" w:hAnsi="游明朝"/>
          <w:sz w:val="21"/>
          <w:szCs w:val="21"/>
        </w:rPr>
        <w:t xml:space="preserve">本計画は、共生社会の実現を推進するための認知症基本法（令和5年法律第65号）第13条第1項に規定する市町村認知症施策推進計画を兼ねます（1-2）。本節は、同法が定める基本的施策と本計画の施策との対応を示すものです。</w:t>
      </w:r>
    </w:p>
    <w:p>
      <w:pPr>
        <w:spacing w:after="100" w:line="300"/>
      </w:pPr>
      <w:r>
        <w:rPr>
          <w:rFonts w:ascii="游ゴシック" w:cs="游ゴシック" w:eastAsia="游ゴシック" w:hAnsi="游ゴシック"/>
          <w:b/>
          <w:bCs/>
          <w:color w:val="2E75B6"/>
          <w:sz w:val="21"/>
          <w:szCs w:val="21"/>
        </w:rPr>
        <w:t xml:space="preserve">(1) 3つの基本的な考え方</w:t>
      </w:r>
    </w:p>
    <w:p>
      <w:pPr>
        <w:spacing w:after="120" w:line="300"/>
      </w:pPr>
      <w:r>
        <w:rPr>
          <w:rFonts w:ascii="游明朝" w:cs="游明朝" w:eastAsia="游明朝" w:hAnsi="游明朝"/>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1"/>
          <w:szCs w:val="21"/>
        </w:rPr>
        <w:t xml:space="preserve">(2) 基本法の基本的施策と本計画の施策との対応</w:t>
      </w:r>
    </w:p>
    <w:p>
      <w:pPr>
        <w:spacing w:after="120" w:line="300"/>
      </w:pPr>
      <w:r>
        <w:rPr>
          <w:rFonts w:ascii="游明朝" w:cs="游明朝" w:eastAsia="游明朝" w:hAnsi="游明朝"/>
          <w:sz w:val="21"/>
          <w:szCs w:val="21"/>
        </w:rPr>
        <w:t xml:space="preserve">認知症基本法第3章は、第14条から第25条までに基本的施策を定めています。このうち第24条（地方公共団体に対する支援）と第25条（国際協力）は国の施策であるため、市町村が計画に位置づけるのは第14条から第23条までの10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2808"/>
        <w:gridCol w:w="3744"/>
        <w:gridCol w:w="2059"/>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施策2-1（移動）・施策2-3（住まい）・施策2-6（除雪）</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【要検討】</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施策4-7（成年後見）・施策4-3（ACP）</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施策3-2（地域密着型サービスの定員）・施策4-4（早期診断・早期対応）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施策4-1（地域包括支援センター）・施策4-4（相談窓口の周知）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―（村の役割は限定的）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対象外</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施策1-1〜1-6（介護予防）・施策4-4（難聴への対応）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第22条</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認知症施策の策定に必要な調査の実施</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資3（アンケート調査 問9・問11）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第23条</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多様な主体の連携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施策4-2（地域ケア会議）・施策4-5（生活支援体制整備）</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15条（バリアフリー化）は、本計画では移動・住まい・除雪の各施策が実質的に受け皿となりますが、認知症の人に着目した記述はありません。認知症の人が外出や買い物、金融機関の利用などで困ることへの対応は、介護保険の枠組みの外にあります。庁内の関係部署および事業者との連携により、どこまで取り組むかを検討します。</w:t>
      </w:r>
    </w:p>
    <w:p>
      <w:pPr>
        <w:spacing w:after="120" w:line="300"/>
      </w:pPr>
      <w:r>
        <w:rPr>
          <w:rFonts w:ascii="游明朝" w:cs="游明朝" w:eastAsia="游明朝" w:hAnsi="游明朝"/>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1"/>
          <w:szCs w:val="21"/>
        </w:rPr>
        <w:t xml:space="preserve">(3)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1"/>
          <w:szCs w:val="21"/>
        </w:rPr>
        <w:t xml:space="preserve">(4) 認知症の人および家族等の参画</w:t>
      </w:r>
    </w:p>
    <w:p>
      <w:pPr>
        <w:spacing w:after="120" w:line="300"/>
      </w:pPr>
      <w:r>
        <w:rPr>
          <w:rFonts w:ascii="游明朝" w:cs="游明朝" w:eastAsia="游明朝" w:hAnsi="游明朝"/>
          <w:sz w:val="21"/>
          <w:szCs w:val="21"/>
        </w:rPr>
        <w:t xml:space="preserve">認知症基本法第13条第3項は、市町村計画の策定にあたって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実施・評価</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毎年度の進捗評価にあたり、認知症の人およびご家族のご意見を聴く</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w:t>
      </w:r>
    </w:p>
    <w:p>
      <w:pPr>
        <w:spacing w:after="100" w:line="300"/>
      </w:pPr>
      <w:r>
        <w:rPr>
          <w:rFonts w:ascii="游ゴシック" w:cs="游ゴシック" w:eastAsia="游ゴシック" w:hAnsi="游ゴシック"/>
          <w:b/>
          <w:bCs/>
          <w:color w:val="2E75B6"/>
          <w:sz w:val="21"/>
          <w:szCs w:val="21"/>
        </w:rPr>
        <w:t xml:space="preserve">(5)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0点／20点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本計画が市町村認知症施策推進計画を兼ねることを明らかにするために置いたものです。個別の取組の内容は施策4-4に記載しています。認知症基本法の条文はこの作業環境から直接確認できていないため、条項の番号は厚生労働省および内閣官房の資料によります。計画の確定前に法令集により照合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用いる人口の系列</w:t>
      </w:r>
    </w:p>
    <w:p>
      <w:pPr>
        <w:spacing w:after="120" w:line="300"/>
      </w:pPr>
      <w:r>
        <w:rPr>
          <w:rFonts w:ascii="游明朝" w:cs="游明朝" w:eastAsia="游明朝" w:hAnsi="游明朝"/>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明朝" w:cs="游明朝" w:eastAsia="游明朝" w:hAnsi="游明朝"/>
          <w:sz w:val="21"/>
          <w:szCs w:val="21"/>
        </w:rPr>
        <w:t xml:space="preserve">置き直しを行う理由は、配布された推計用人口が令和8年で953人であるのに対し、実績が1,012人と59人（6.2%）多いためです。この差をそのままにすると、第9期と同じ過少推計を繰り返すことになります。</w:t>
      </w:r>
    </w:p>
    <w:p>
      <w:pPr>
        <w:spacing w:after="100" w:line="300"/>
      </w:pPr>
      <w:r>
        <w:rPr>
          <w:rFonts w:ascii="游ゴシック" w:cs="游ゴシック" w:eastAsia="游ゴシック" w:hAnsi="游ゴシック"/>
          <w:b/>
          <w:bCs/>
          <w:color w:val="2E75B6"/>
          <w:sz w:val="21"/>
          <w:szCs w:val="21"/>
        </w:rPr>
        <w:t xml:space="preserve">参考　国勢調査ベースの推計による算定</w:t>
      </w:r>
    </w:p>
    <w:p>
      <w:pPr>
        <w:spacing w:after="120" w:line="300"/>
      </w:pPr>
      <w:r>
        <w:rPr>
          <w:rFonts w:ascii="游明朝" w:cs="游明朝" w:eastAsia="游明朝" w:hAnsi="游明朝"/>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1"/>
          <w:szCs w:val="21"/>
        </w:rPr>
        <w:t xml:space="preserve">サービス見込量・給付費</w:t>
      </w:r>
    </w:p>
    <w:p>
      <w:pPr>
        <w:spacing w:after="120" w:line="300"/>
      </w:pPr>
      <w:r>
        <w:rPr>
          <w:rFonts w:ascii="游明朝" w:cs="游明朝" w:eastAsia="游明朝" w:hAnsi="游明朝"/>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各年1月1日時点。令和7年は令和7年12月末の実績です。</w:t>
      </w:r>
    </w:p>
    <w:p>
      <w:pPr>
        <w:spacing w:after="120" w:line="300"/>
      </w:pPr>
      <w:r>
        <w:rPr>
          <w:rFonts w:ascii="游明朝" w:cs="游明朝" w:eastAsia="游明朝" w:hAnsi="游明朝"/>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1"/>
          <w:szCs w:val="21"/>
        </w:rPr>
        <w:t xml:space="preserve">推計の検証</w:t>
      </w:r>
    </w:p>
    <w:p>
      <w:pPr>
        <w:spacing w:after="120" w:line="300"/>
      </w:pPr>
      <w:r>
        <w:rPr>
          <w:rFonts w:ascii="游明朝" w:cs="游明朝" w:eastAsia="游明朝" w:hAnsi="游明朝"/>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5-2の第1号被保険者数に、前期高齢者・後期高齢者それぞれの要介護度別認定率（令和6年から令和8年までの3か年平均）を乗じて算定します。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令和8年は令和8年3月末の実績です。第1号被保険者数が1,012人から987人へ2.5%減るにもかかわらず、認定者数は214人から220人へ6人（2.8%）増えます。後期高齢者の割合が高まるためです。認定率は21.1%から22.3%へ1.2ポイント上がります。</w:t>
      </w:r>
    </w:p>
    <w:p>
      <w:pPr>
        <w:spacing w:after="100" w:line="300"/>
      </w:pPr>
      <w:r>
        <w:rPr>
          <w:rFonts w:ascii="游ゴシック" w:cs="游ゴシック" w:eastAsia="游ゴシック" w:hAnsi="游ゴシック"/>
          <w:b/>
          <w:bCs/>
          <w:color w:val="2E75B6"/>
          <w:sz w:val="21"/>
          <w:szCs w:val="21"/>
        </w:rPr>
        <w:t xml:space="preserve">認定率の置き方による幅</w:t>
      </w:r>
    </w:p>
    <w:p>
      <w:pPr>
        <w:spacing w:after="120" w:line="300"/>
      </w:pPr>
      <w:r>
        <w:rPr>
          <w:rFonts w:ascii="游明朝" w:cs="游明朝" w:eastAsia="游明朝" w:hAnsi="游明朝"/>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明朝" w:cs="游明朝" w:eastAsia="游明朝" w:hAnsi="游明朝"/>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明朝" w:cs="游明朝" w:eastAsia="游明朝" w:hAnsi="游明朝"/>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明朝" w:cs="游明朝" w:eastAsia="游明朝" w:hAnsi="游明朝"/>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変化の実数は0.3人から2.3人であり、受給者の少なさが変化率を大きくしています。前2者は、伸びているサービスを3か年平均で置くと過小になるという5-4(9)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算定は scripts/check_warning.py により、data/第10期_見込量の自己点検.csv に出力しています。</w:t>
      </w:r>
    </w:p>
    <w:p>
      <w:pPr>
        <w:spacing w:after="100" w:line="300"/>
      </w:pPr>
      <w:r>
        <w:rPr>
          <w:rFonts w:ascii="游ゴシック" w:cs="游ゴシック" w:eastAsia="游ゴシック" w:hAnsi="游ゴシック"/>
          <w:b/>
          <w:bCs/>
          <w:color w:val="2E75B6"/>
          <w:sz w:val="21"/>
          <w:szCs w:val="21"/>
        </w:rPr>
        <w:t xml:space="preserve">(6)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1"/>
          <w:szCs w:val="21"/>
        </w:rPr>
        <w:t xml:space="preserve">(7)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明朝" w:cs="游明朝" w:eastAsia="游明朝" w:hAnsi="游明朝"/>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1"/>
          <w:szCs w:val="21"/>
        </w:rPr>
        <w:t xml:space="preserve">(8)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居宅介護支援と介護予防支援は、「見える化」システムでは合算した給付費のみが把握できます。人数は村の給付実績の提供を受けて記入します。在宅サービス受給者数（112.6人／月）に近い水準になる見込みです。</w:t>
      </w:r>
    </w:p>
    <w:p>
      <w:pPr>
        <w:spacing w:after="100" w:line="300"/>
      </w:pPr>
      <w:r>
        <w:rPr>
          <w:rFonts w:ascii="游ゴシック" w:cs="游ゴシック" w:eastAsia="游ゴシック" w:hAnsi="游ゴシック"/>
          <w:b/>
          <w:bCs/>
          <w:color w:val="2E75B6"/>
          <w:sz w:val="21"/>
          <w:szCs w:val="21"/>
        </w:rPr>
        <w:t xml:space="preserve">(9)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2.62%）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算定の過程は scripts/price_trend.py および scripts/backtest_growth.py に記録しています。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明朝" w:cs="游明朝" w:eastAsia="游明朝" w:hAnsi="游明朝"/>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1"/>
          <w:szCs w:val="21"/>
        </w:rPr>
        <w:t xml:space="preserve">介護給付費と予防給付費の分離</w:t>
      </w:r>
    </w:p>
    <w:p>
      <w:pPr>
        <w:spacing w:after="120" w:line="300"/>
      </w:pPr>
      <w:r>
        <w:rPr>
          <w:rFonts w:ascii="游明朝" w:cs="游明朝" w:eastAsia="游明朝" w:hAnsi="游明朝"/>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明朝" w:cs="游明朝" w:eastAsia="游明朝" w:hAnsi="游明朝"/>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明朝" w:cs="游明朝" w:eastAsia="游明朝" w:hAnsi="游明朝"/>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算定は scripts/estimate_kyufu_split.py により、data/第10期_介護給付費_予防給付費の分離.csv に出力しています。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令和6年度・令和7年度の決算の提供を受けて置き直し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④÷予定保険料収納率÷所得段階別加入割合補正後被保険者数÷12－介護給付費準備基金の取崩しによる軽減額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単価が趨勢どおり年1.30%上がる場合（5-4(9)①）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推計の誤差（絶対値の平均11.9%。5-4(9)③）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(9)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編集注記：上表は令和5年度決算を基礎とした暫定値です。令和6年度・令和7年度の決算と基金残高の提供を受けて確定します。算出は scripts/estimate_premium.py により、data/第10期_保険料感応度.csv に出力しています。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編集注記：算出は scripts/estimate_premium.py により、data/第10期_保険料パターン.csv に出力しています。令和6年度・令和7年度の決算および基金残高の提供を受けて確定します。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2059"/>
        <w:gridCol w:w="206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全件点検の継続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年間の点検件数を設定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4帳票の全件点検を継続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仕組みの検討</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村内に該当施設がないため対象外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明朝" w:cs="游明朝" w:eastAsia="游明朝" w:hAnsi="游明朝"/>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(9)①のとおり趨勢どおり上がる場合は上表を上回ります。令和6年度・令和7年度の決算の提供を受けて基準年度の水準を確定したうえで算出し直します。算定の過程は scripts/estimate_longterm.py に記録しています。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給付費のみ記載、人数は空欄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1"/>
          <w:szCs w:val="21"/>
        </w:rPr>
        <w:t xml:space="preserve">見直しの目安</w:t>
      </w:r>
    </w:p>
    <w:p>
      <w:pPr>
        <w:spacing w:after="120" w:line="300"/>
      </w:pPr>
      <w:r>
        <w:rPr>
          <w:rFonts w:ascii="游明朝" w:cs="游明朝" w:eastAsia="游明朝" w:hAnsi="游明朝"/>
          <w:sz w:val="21"/>
          <w:szCs w:val="21"/>
        </w:rPr>
        <w:t xml:space="preserve">乖離がどの程度であれば見直しを要するかの目安をあらかじめ定めます。5-4(9)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は、5-4(9)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明朝" w:cs="游明朝" w:eastAsia="游明朝" w:hAnsi="游明朝"/>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2026-09-16T02:25:18.875Z</dcterms:created>
  <dcterms:modified xsi:type="dcterms:W3CDTF">2026-09-16T02:25:18.876Z</dcterms:modified>
</cp:coreProperties>
</file>

<file path=docProps/custom.xml><?xml version="1.0" encoding="utf-8"?>
<Properties xmlns="http://schemas.openxmlformats.org/officeDocument/2006/custom-properties" xmlns:vt="http://schemas.openxmlformats.org/officeDocument/2006/docPropsVTypes"/>
</file>